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1925" w:rsidRPr="00083EC8" w:rsidRDefault="00281925" w:rsidP="00325218">
      <w:pPr>
        <w:jc w:val="center"/>
        <w:rPr>
          <w:rFonts w:ascii="Times New Roman" w:hAnsi="Times New Roman" w:cs="Times New Roman"/>
          <w:b/>
          <w:sz w:val="28"/>
          <w:szCs w:val="28"/>
          <w:lang w:val="en-US"/>
        </w:rPr>
      </w:pPr>
      <w:r w:rsidRPr="00083EC8">
        <w:rPr>
          <w:rFonts w:ascii="Times New Roman" w:hAnsi="Times New Roman" w:cs="Times New Roman"/>
          <w:b/>
          <w:sz w:val="28"/>
          <w:szCs w:val="28"/>
          <w:lang w:val="en-US"/>
        </w:rPr>
        <w:t>IBA Guide on Shareholders’ Agreements</w:t>
      </w:r>
    </w:p>
    <w:p w:rsidR="00281925" w:rsidRPr="00B50D74" w:rsidRDefault="0078404C" w:rsidP="00325218">
      <w:pPr>
        <w:jc w:val="center"/>
        <w:rPr>
          <w:rFonts w:ascii="Times New Roman" w:hAnsi="Times New Roman" w:cs="Times New Roman"/>
          <w:b/>
          <w:sz w:val="23"/>
          <w:szCs w:val="23"/>
          <w:lang w:val="en-US"/>
        </w:rPr>
      </w:pPr>
      <w:r w:rsidRPr="00B50D74">
        <w:rPr>
          <w:rFonts w:ascii="Times New Roman" w:hAnsi="Times New Roman" w:cs="Times New Roman"/>
          <w:b/>
          <w:sz w:val="23"/>
          <w:szCs w:val="23"/>
          <w:lang w:val="en-US"/>
        </w:rPr>
        <w:t>The Netherlands</w:t>
      </w:r>
    </w:p>
    <w:p w:rsidR="00281925" w:rsidRPr="00B50D74" w:rsidRDefault="0078404C" w:rsidP="00325218">
      <w:pPr>
        <w:jc w:val="center"/>
        <w:rPr>
          <w:rFonts w:ascii="Times New Roman" w:hAnsi="Times New Roman" w:cs="Times New Roman"/>
          <w:b/>
          <w:sz w:val="23"/>
          <w:szCs w:val="23"/>
          <w:lang w:val="nl-NL"/>
        </w:rPr>
      </w:pPr>
      <w:r w:rsidRPr="00B50D74">
        <w:rPr>
          <w:rFonts w:ascii="Times New Roman" w:hAnsi="Times New Roman" w:cs="Times New Roman"/>
          <w:b/>
          <w:sz w:val="23"/>
          <w:szCs w:val="23"/>
          <w:lang w:val="nl-NL"/>
        </w:rPr>
        <w:t>Cees-Frans Greeven, Tjeerd Aghina, Coen van der Mark</w:t>
      </w:r>
    </w:p>
    <w:p w:rsidR="0078404C" w:rsidRPr="00B50D74" w:rsidRDefault="0078404C" w:rsidP="00325218">
      <w:pPr>
        <w:jc w:val="center"/>
        <w:rPr>
          <w:rFonts w:ascii="Times New Roman" w:hAnsi="Times New Roman" w:cs="Times New Roman"/>
          <w:b/>
          <w:sz w:val="23"/>
          <w:szCs w:val="23"/>
          <w:lang w:val="en-US"/>
        </w:rPr>
      </w:pPr>
      <w:r w:rsidRPr="00B50D74">
        <w:rPr>
          <w:rFonts w:ascii="Times New Roman" w:hAnsi="Times New Roman" w:cs="Times New Roman"/>
          <w:b/>
          <w:sz w:val="23"/>
          <w:szCs w:val="23"/>
          <w:lang w:val="en-US"/>
        </w:rPr>
        <w:t>Buren N.V., Amsterdam, the Netherlands</w:t>
      </w:r>
    </w:p>
    <w:p w:rsidR="0078404C" w:rsidRPr="00B50D74" w:rsidRDefault="0078404C" w:rsidP="00325218">
      <w:pPr>
        <w:rPr>
          <w:rFonts w:ascii="Times New Roman" w:hAnsi="Times New Roman" w:cs="Times New Roman"/>
          <w:b/>
          <w:sz w:val="23"/>
          <w:szCs w:val="23"/>
          <w:lang w:val="en-US"/>
        </w:rPr>
      </w:pPr>
    </w:p>
    <w:p w:rsidR="0078404C" w:rsidRPr="00B50D74" w:rsidRDefault="0078404C" w:rsidP="00CC6828">
      <w:pPr>
        <w:pStyle w:val="ListParagraph"/>
        <w:numPr>
          <w:ilvl w:val="0"/>
          <w:numId w:val="14"/>
        </w:numPr>
        <w:jc w:val="both"/>
        <w:rPr>
          <w:rFonts w:ascii="Times New Roman" w:hAnsi="Times New Roman" w:cs="Times New Roman"/>
          <w:b/>
          <w:sz w:val="23"/>
          <w:szCs w:val="23"/>
          <w:lang w:val="en-US"/>
        </w:rPr>
      </w:pPr>
      <w:r w:rsidRPr="00B50D74">
        <w:rPr>
          <w:rFonts w:ascii="Times New Roman" w:hAnsi="Times New Roman" w:cs="Times New Roman"/>
          <w:b/>
          <w:sz w:val="23"/>
          <w:szCs w:val="23"/>
          <w:lang w:val="en-US"/>
        </w:rPr>
        <w:t xml:space="preserve">Are shareholders’ agreements frequent in </w:t>
      </w:r>
      <w:r w:rsidR="00E47ED1" w:rsidRPr="00B50D74">
        <w:rPr>
          <w:rFonts w:ascii="Times New Roman" w:hAnsi="Times New Roman" w:cs="Times New Roman"/>
          <w:b/>
          <w:sz w:val="23"/>
          <w:szCs w:val="23"/>
          <w:lang w:val="en-US"/>
        </w:rPr>
        <w:t xml:space="preserve">The </w:t>
      </w:r>
      <w:r w:rsidRPr="00B50D74">
        <w:rPr>
          <w:rFonts w:ascii="Times New Roman" w:hAnsi="Times New Roman" w:cs="Times New Roman"/>
          <w:b/>
          <w:sz w:val="23"/>
          <w:szCs w:val="23"/>
          <w:lang w:val="en-US"/>
        </w:rPr>
        <w:t>Netherlands?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 xml:space="preserve">In </w:t>
      </w:r>
      <w:r w:rsidR="00E47ED1" w:rsidRPr="00B50D74">
        <w:rPr>
          <w:rFonts w:ascii="Times New Roman" w:hAnsi="Times New Roman" w:cs="Times New Roman"/>
          <w:sz w:val="23"/>
          <w:szCs w:val="23"/>
          <w:lang w:val="en-US"/>
        </w:rPr>
        <w:t xml:space="preserve">The </w:t>
      </w:r>
      <w:r w:rsidRPr="00B50D74">
        <w:rPr>
          <w:rFonts w:ascii="Times New Roman" w:hAnsi="Times New Roman" w:cs="Times New Roman"/>
          <w:sz w:val="23"/>
          <w:szCs w:val="23"/>
          <w:lang w:val="en-US"/>
        </w:rPr>
        <w:t>Netherlands, shareholders’ agreements are used frequently if the shares in the capital of a private company with limited liability (</w:t>
      </w:r>
      <w:r w:rsidRPr="00B50D74">
        <w:rPr>
          <w:rFonts w:ascii="Times New Roman" w:hAnsi="Times New Roman" w:cs="Times New Roman"/>
          <w:i/>
          <w:sz w:val="23"/>
          <w:szCs w:val="23"/>
          <w:lang w:val="en-US"/>
        </w:rPr>
        <w:t>besloten vennootschap met beperkte aansprakelijkheid</w:t>
      </w:r>
      <w:r w:rsidRPr="00B50D74">
        <w:rPr>
          <w:rFonts w:ascii="Times New Roman" w:hAnsi="Times New Roman" w:cs="Times New Roman"/>
          <w:sz w:val="23"/>
          <w:szCs w:val="23"/>
          <w:lang w:val="en-US"/>
        </w:rPr>
        <w:t>) (“</w:t>
      </w:r>
      <w:r w:rsidRPr="00B50D74">
        <w:rPr>
          <w:rFonts w:ascii="Times New Roman" w:hAnsi="Times New Roman" w:cs="Times New Roman"/>
          <w:b/>
          <w:sz w:val="23"/>
          <w:szCs w:val="23"/>
          <w:lang w:val="en-US"/>
        </w:rPr>
        <w:t>BV</w:t>
      </w:r>
      <w:r w:rsidRPr="00B50D74">
        <w:rPr>
          <w:rFonts w:ascii="Times New Roman" w:hAnsi="Times New Roman" w:cs="Times New Roman"/>
          <w:sz w:val="23"/>
          <w:szCs w:val="23"/>
          <w:lang w:val="en-US"/>
        </w:rPr>
        <w:t>”) are held by more than one shareholder.</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What formalities must shareholders’ agreements comply with in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Dutch law does not provide for specific statutory provisions in respect of shareholders’ agreements.</w:t>
      </w:r>
      <w:r w:rsidR="00D227BA" w:rsidRPr="00B50D74">
        <w:rPr>
          <w:rFonts w:ascii="Times New Roman" w:hAnsi="Times New Roman" w:cs="Times New Roman"/>
          <w:sz w:val="23"/>
          <w:szCs w:val="23"/>
          <w:lang w:val="en-US"/>
        </w:rPr>
        <w:t xml:space="preserve"> </w:t>
      </w:r>
      <w:r w:rsidR="008A0D8E" w:rsidRPr="00B50D74">
        <w:rPr>
          <w:rFonts w:ascii="Times New Roman" w:hAnsi="Times New Roman" w:cs="Times New Roman"/>
          <w:sz w:val="23"/>
          <w:szCs w:val="23"/>
          <w:lang w:val="en-US"/>
        </w:rPr>
        <w:t>Therefore</w:t>
      </w:r>
      <w:r w:rsidR="00D227BA" w:rsidRPr="00B50D74">
        <w:rPr>
          <w:rFonts w:ascii="Times New Roman" w:hAnsi="Times New Roman" w:cs="Times New Roman"/>
          <w:sz w:val="23"/>
          <w:szCs w:val="23"/>
          <w:lang w:val="en-US"/>
        </w:rPr>
        <w:t xml:space="preserve">, </w:t>
      </w:r>
      <w:r w:rsidR="00AA4CCF" w:rsidRPr="00B50D74">
        <w:rPr>
          <w:rFonts w:ascii="Times New Roman" w:hAnsi="Times New Roman" w:cs="Times New Roman"/>
          <w:sz w:val="23"/>
          <w:szCs w:val="23"/>
          <w:lang w:val="en-US"/>
        </w:rPr>
        <w:t xml:space="preserve">the </w:t>
      </w:r>
      <w:r w:rsidR="00D227BA" w:rsidRPr="00B50D74">
        <w:rPr>
          <w:rFonts w:ascii="Times New Roman" w:hAnsi="Times New Roman" w:cs="Times New Roman"/>
          <w:sz w:val="23"/>
          <w:szCs w:val="23"/>
          <w:lang w:val="en-US"/>
        </w:rPr>
        <w:t>Dutch law principle of freedom of contract (</w:t>
      </w:r>
      <w:r w:rsidR="00D227BA" w:rsidRPr="00B50D74">
        <w:rPr>
          <w:rFonts w:ascii="Times New Roman" w:hAnsi="Times New Roman" w:cs="Times New Roman"/>
          <w:i/>
          <w:sz w:val="23"/>
          <w:szCs w:val="23"/>
          <w:lang w:val="en-US"/>
        </w:rPr>
        <w:t>contractsvrijheid</w:t>
      </w:r>
      <w:r w:rsidR="00D227BA" w:rsidRPr="00B50D74">
        <w:rPr>
          <w:rFonts w:ascii="Times New Roman" w:hAnsi="Times New Roman" w:cs="Times New Roman"/>
          <w:sz w:val="23"/>
          <w:szCs w:val="23"/>
          <w:lang w:val="en-US"/>
        </w:rPr>
        <w:t>) is the underlying leading principle which defines the content of shareholders’ agreements.</w:t>
      </w:r>
      <w:r w:rsidRPr="00B50D74">
        <w:rPr>
          <w:rFonts w:ascii="Times New Roman" w:hAnsi="Times New Roman" w:cs="Times New Roman"/>
          <w:sz w:val="23"/>
          <w:szCs w:val="23"/>
          <w:lang w:val="en-US"/>
        </w:rPr>
        <w:t xml:space="preserve"> The general rules of Dutch contract law are applicable to shareholders’ agreements. As a result, there are no formalities that must be complied with in respect of (the conclusion of) a shareholders’ agreement (such as registration or format), beside the formalities that are applicable to contracts in general (which are limited to consensus between the parties in respect of what has been agreed).</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Can shareholders’ agreements be brought to bear against third parties such as purchasers of shares or successors?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 xml:space="preserve">Shareholders’ agreements are only binding </w:t>
      </w:r>
      <w:r w:rsidR="00E47ED1">
        <w:rPr>
          <w:rFonts w:ascii="Times New Roman" w:hAnsi="Times New Roman" w:cs="Times New Roman"/>
          <w:sz w:val="23"/>
          <w:szCs w:val="23"/>
          <w:lang w:val="en-US"/>
        </w:rPr>
        <w:t>between</w:t>
      </w:r>
      <w:r w:rsidRPr="00B50D74">
        <w:rPr>
          <w:rFonts w:ascii="Times New Roman" w:hAnsi="Times New Roman" w:cs="Times New Roman"/>
          <w:sz w:val="23"/>
          <w:szCs w:val="23"/>
          <w:lang w:val="en-US"/>
        </w:rPr>
        <w:t xml:space="preserve"> the parties thereto. Purchasers or successors are therefore</w:t>
      </w:r>
      <w:r w:rsidR="00E47ED1">
        <w:rPr>
          <w:rFonts w:ascii="Times New Roman" w:hAnsi="Times New Roman" w:cs="Times New Roman"/>
          <w:sz w:val="23"/>
          <w:szCs w:val="23"/>
          <w:lang w:val="en-US"/>
        </w:rPr>
        <w:t>,</w:t>
      </w:r>
      <w:r w:rsidRPr="00B50D74">
        <w:rPr>
          <w:rFonts w:ascii="Times New Roman" w:hAnsi="Times New Roman" w:cs="Times New Roman"/>
          <w:sz w:val="23"/>
          <w:szCs w:val="23"/>
          <w:lang w:val="en-US"/>
        </w:rPr>
        <w:t xml:space="preserve"> in principle</w:t>
      </w:r>
      <w:r w:rsidR="00E47ED1">
        <w:rPr>
          <w:rFonts w:ascii="Times New Roman" w:hAnsi="Times New Roman" w:cs="Times New Roman"/>
          <w:sz w:val="23"/>
          <w:szCs w:val="23"/>
          <w:lang w:val="en-US"/>
        </w:rPr>
        <w:t>,</w:t>
      </w:r>
      <w:r w:rsidRPr="00B50D74">
        <w:rPr>
          <w:rFonts w:ascii="Times New Roman" w:hAnsi="Times New Roman" w:cs="Times New Roman"/>
          <w:sz w:val="23"/>
          <w:szCs w:val="23"/>
          <w:lang w:val="en-US"/>
        </w:rPr>
        <w:t xml:space="preserve"> not bound by a shareholders’ agreement. </w:t>
      </w:r>
      <w:r w:rsidR="00E47ED1">
        <w:rPr>
          <w:rFonts w:ascii="Times New Roman" w:hAnsi="Times New Roman" w:cs="Times New Roman"/>
          <w:sz w:val="23"/>
          <w:szCs w:val="23"/>
          <w:lang w:val="en-US"/>
        </w:rPr>
        <w:t>Without prejudice to the foregoing</w:t>
      </w:r>
      <w:r w:rsidRPr="00B50D74">
        <w:rPr>
          <w:rFonts w:ascii="Times New Roman" w:hAnsi="Times New Roman" w:cs="Times New Roman"/>
          <w:sz w:val="23"/>
          <w:szCs w:val="23"/>
          <w:lang w:val="en-US"/>
        </w:rPr>
        <w:t>, shareholders’ agreements customarily provide for accession procedures applicable upon share transfers, pursuant to which the selling shareholder must procure that the new shareholder shall become a party to the shareholders’ agreement.</w:t>
      </w:r>
      <w:r w:rsidR="008A0D8E" w:rsidRPr="00B50D74">
        <w:rPr>
          <w:rFonts w:ascii="Times New Roman" w:hAnsi="Times New Roman" w:cs="Times New Roman"/>
          <w:sz w:val="23"/>
          <w:szCs w:val="23"/>
          <w:lang w:val="en-US"/>
        </w:rPr>
        <w:t xml:space="preserve"> </w:t>
      </w:r>
      <w:r w:rsidR="00E47ED1">
        <w:rPr>
          <w:rFonts w:ascii="Times New Roman" w:hAnsi="Times New Roman" w:cs="Times New Roman"/>
          <w:sz w:val="23"/>
          <w:szCs w:val="23"/>
          <w:lang w:val="en-US"/>
        </w:rPr>
        <w:t>In addition</w:t>
      </w:r>
      <w:r w:rsidR="008A0D8E" w:rsidRPr="00B50D74">
        <w:rPr>
          <w:rFonts w:ascii="Times New Roman" w:hAnsi="Times New Roman" w:cs="Times New Roman"/>
          <w:sz w:val="23"/>
          <w:szCs w:val="23"/>
          <w:lang w:val="en-US"/>
        </w:rPr>
        <w:t>, it is possible to include an arrangement (a so called “</w:t>
      </w:r>
      <w:r w:rsidR="008A0D8E" w:rsidRPr="00B50D74">
        <w:rPr>
          <w:rFonts w:ascii="Times New Roman" w:hAnsi="Times New Roman" w:cs="Times New Roman"/>
          <w:i/>
          <w:sz w:val="23"/>
          <w:szCs w:val="23"/>
          <w:lang w:val="en-US"/>
        </w:rPr>
        <w:t>kwaliteitseis</w:t>
      </w:r>
      <w:r w:rsidR="008A0D8E" w:rsidRPr="00B50D74">
        <w:rPr>
          <w:rFonts w:ascii="Times New Roman" w:hAnsi="Times New Roman" w:cs="Times New Roman"/>
          <w:sz w:val="23"/>
          <w:szCs w:val="23"/>
          <w:lang w:val="en-US"/>
        </w:rPr>
        <w:t>”) in the by-laws of the BV pursuant to which a</w:t>
      </w:r>
      <w:r w:rsidR="00E47ED1">
        <w:rPr>
          <w:rFonts w:ascii="Times New Roman" w:hAnsi="Times New Roman" w:cs="Times New Roman"/>
          <w:sz w:val="23"/>
          <w:szCs w:val="23"/>
          <w:lang w:val="en-US"/>
        </w:rPr>
        <w:t>ny</w:t>
      </w:r>
      <w:r w:rsidR="008A0D8E" w:rsidRPr="00B50D74">
        <w:rPr>
          <w:rFonts w:ascii="Times New Roman" w:hAnsi="Times New Roman" w:cs="Times New Roman"/>
          <w:sz w:val="23"/>
          <w:szCs w:val="23"/>
          <w:lang w:val="en-US"/>
        </w:rPr>
        <w:t xml:space="preserve"> shareholder must </w:t>
      </w:r>
      <w:r w:rsidR="00E47ED1">
        <w:rPr>
          <w:rFonts w:ascii="Times New Roman" w:hAnsi="Times New Roman" w:cs="Times New Roman"/>
          <w:sz w:val="23"/>
          <w:szCs w:val="23"/>
          <w:lang w:val="en-US"/>
        </w:rPr>
        <w:t xml:space="preserve">also </w:t>
      </w:r>
      <w:r w:rsidR="008A0D8E" w:rsidRPr="00B50D74">
        <w:rPr>
          <w:rFonts w:ascii="Times New Roman" w:hAnsi="Times New Roman" w:cs="Times New Roman"/>
          <w:sz w:val="23"/>
          <w:szCs w:val="23"/>
          <w:lang w:val="en-US"/>
        </w:rPr>
        <w:t>be</w:t>
      </w:r>
      <w:r w:rsidR="00E47ED1">
        <w:rPr>
          <w:rFonts w:ascii="Times New Roman" w:hAnsi="Times New Roman" w:cs="Times New Roman"/>
          <w:sz w:val="23"/>
          <w:szCs w:val="23"/>
          <w:lang w:val="en-US"/>
        </w:rPr>
        <w:t>come</w:t>
      </w:r>
      <w:r w:rsidR="008A0D8E" w:rsidRPr="00B50D74">
        <w:rPr>
          <w:rFonts w:ascii="Times New Roman" w:hAnsi="Times New Roman" w:cs="Times New Roman"/>
          <w:sz w:val="23"/>
          <w:szCs w:val="23"/>
          <w:lang w:val="en-US"/>
        </w:rPr>
        <w:t xml:space="preserve"> a party to the shareholders’ agreement.</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 xml:space="preserve">Please note that it is possible to include contractual obligations of shareholders </w:t>
      </w:r>
      <w:r w:rsidRPr="00E47ED1">
        <w:rPr>
          <w:rFonts w:ascii="Times New Roman" w:hAnsi="Times New Roman" w:cs="Times New Roman"/>
          <w:i/>
          <w:sz w:val="23"/>
          <w:szCs w:val="23"/>
          <w:lang w:val="en-US"/>
        </w:rPr>
        <w:t>vis-</w:t>
      </w:r>
      <w:r w:rsidR="002A4DD2" w:rsidRPr="00E47ED1">
        <w:rPr>
          <w:rFonts w:ascii="Times New Roman" w:hAnsi="Times New Roman" w:cs="Times New Roman"/>
          <w:i/>
          <w:sz w:val="23"/>
          <w:szCs w:val="23"/>
          <w:lang w:val="en-US"/>
        </w:rPr>
        <w:t>à</w:t>
      </w:r>
      <w:r w:rsidRPr="00E47ED1">
        <w:rPr>
          <w:rFonts w:ascii="Times New Roman" w:hAnsi="Times New Roman" w:cs="Times New Roman"/>
          <w:i/>
          <w:sz w:val="23"/>
          <w:szCs w:val="23"/>
          <w:lang w:val="en-US"/>
        </w:rPr>
        <w:t>-vis</w:t>
      </w:r>
      <w:r w:rsidRPr="00B50D74">
        <w:rPr>
          <w:rFonts w:ascii="Times New Roman" w:hAnsi="Times New Roman" w:cs="Times New Roman"/>
          <w:sz w:val="23"/>
          <w:szCs w:val="23"/>
          <w:lang w:val="en-US"/>
        </w:rPr>
        <w:t xml:space="preserve"> the BV, third parties or other shareholders in the by-laws of a BV. Successors will be bound to these obligations.</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Can a shareholders’ agreement regulate non-company contents?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Yes, Dutch law does not prevent shareholders’ agreements from regulating non-company matters.</w:t>
      </w:r>
    </w:p>
    <w:p w:rsidR="0078404C" w:rsidRPr="00CC6828" w:rsidRDefault="0078404C" w:rsidP="00E47ED1">
      <w:pPr>
        <w:pStyle w:val="ListParagraph"/>
        <w:keepNext/>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lastRenderedPageBreak/>
        <w:t xml:space="preserve">Are there limits on the term of shareholders’ agreements under the law of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w:t>
      </w:r>
    </w:p>
    <w:p w:rsidR="0078404C" w:rsidRPr="00B50D74" w:rsidRDefault="0078404C" w:rsidP="00E47ED1">
      <w:pPr>
        <w:keepNext/>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No, there are no limits on the term of shareholders’ agreements under Dutch law.</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Are shareholders’ agreements related to actions by directors valid in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w:t>
      </w:r>
    </w:p>
    <w:p w:rsidR="0078404C" w:rsidRPr="009932FE"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Under Dutch law, provisions in shareholders’ agreements related to actions by the managing directors are</w:t>
      </w:r>
      <w:r w:rsidR="00E47ED1">
        <w:rPr>
          <w:rFonts w:ascii="Times New Roman" w:hAnsi="Times New Roman" w:cs="Times New Roman"/>
          <w:sz w:val="23"/>
          <w:szCs w:val="23"/>
          <w:lang w:val="en-US"/>
        </w:rPr>
        <w:t>,</w:t>
      </w:r>
      <w:r w:rsidRPr="00B50D74">
        <w:rPr>
          <w:rFonts w:ascii="Times New Roman" w:hAnsi="Times New Roman" w:cs="Times New Roman"/>
          <w:sz w:val="23"/>
          <w:szCs w:val="23"/>
          <w:lang w:val="en-US"/>
        </w:rPr>
        <w:t xml:space="preserve"> in principle</w:t>
      </w:r>
      <w:r w:rsidR="00E47ED1">
        <w:rPr>
          <w:rFonts w:ascii="Times New Roman" w:hAnsi="Times New Roman" w:cs="Times New Roman"/>
          <w:sz w:val="23"/>
          <w:szCs w:val="23"/>
          <w:lang w:val="en-US"/>
        </w:rPr>
        <w:t>,</w:t>
      </w:r>
      <w:r w:rsidRPr="00B50D74">
        <w:rPr>
          <w:rFonts w:ascii="Times New Roman" w:hAnsi="Times New Roman" w:cs="Times New Roman"/>
          <w:sz w:val="23"/>
          <w:szCs w:val="23"/>
          <w:lang w:val="en-US"/>
        </w:rPr>
        <w:t xml:space="preserve"> valid. However, since shareholders’ agreements are only binding </w:t>
      </w:r>
      <w:r w:rsidR="00E47ED1">
        <w:rPr>
          <w:rFonts w:ascii="Times New Roman" w:hAnsi="Times New Roman" w:cs="Times New Roman"/>
          <w:sz w:val="23"/>
          <w:szCs w:val="23"/>
          <w:lang w:val="en-US"/>
        </w:rPr>
        <w:t>between</w:t>
      </w:r>
      <w:r w:rsidRPr="00B50D74">
        <w:rPr>
          <w:rFonts w:ascii="Times New Roman" w:hAnsi="Times New Roman" w:cs="Times New Roman"/>
          <w:sz w:val="23"/>
          <w:szCs w:val="23"/>
          <w:lang w:val="en-US"/>
        </w:rPr>
        <w:t xml:space="preserve"> the parties thereto, these provisions will not be (directly) binding on the managing directors and will not be enforceable against third parties. Managing directors are often indirectly bound </w:t>
      </w:r>
      <w:r w:rsidR="00E47ED1">
        <w:rPr>
          <w:rFonts w:ascii="Times New Roman" w:hAnsi="Times New Roman" w:cs="Times New Roman"/>
          <w:sz w:val="23"/>
          <w:szCs w:val="23"/>
          <w:lang w:val="en-US"/>
        </w:rPr>
        <w:t xml:space="preserve">by </w:t>
      </w:r>
      <w:r w:rsidRPr="00B50D74">
        <w:rPr>
          <w:rFonts w:ascii="Times New Roman" w:hAnsi="Times New Roman" w:cs="Times New Roman"/>
          <w:sz w:val="23"/>
          <w:szCs w:val="23"/>
          <w:lang w:val="en-US"/>
        </w:rPr>
        <w:t>the shareholders’ agreement through internal rules of the board or through their employment- or management</w:t>
      </w:r>
      <w:r w:rsidR="00E47ED1">
        <w:rPr>
          <w:rFonts w:ascii="Times New Roman" w:hAnsi="Times New Roman" w:cs="Times New Roman"/>
          <w:sz w:val="23"/>
          <w:szCs w:val="23"/>
          <w:lang w:val="en-US"/>
        </w:rPr>
        <w:t>-</w:t>
      </w:r>
      <w:r w:rsidRPr="00B50D74">
        <w:rPr>
          <w:rFonts w:ascii="Times New Roman" w:hAnsi="Times New Roman" w:cs="Times New Roman"/>
          <w:sz w:val="23"/>
          <w:szCs w:val="23"/>
          <w:lang w:val="en-US"/>
        </w:rPr>
        <w:t xml:space="preserve"> agreement</w:t>
      </w:r>
      <w:r w:rsidR="00E47ED1">
        <w:rPr>
          <w:rFonts w:ascii="Times New Roman" w:hAnsi="Times New Roman" w:cs="Times New Roman"/>
          <w:sz w:val="23"/>
          <w:szCs w:val="23"/>
          <w:lang w:val="en-US"/>
        </w:rPr>
        <w:t>s</w:t>
      </w:r>
      <w:r w:rsidRPr="00B50D74">
        <w:rPr>
          <w:rFonts w:ascii="Times New Roman" w:hAnsi="Times New Roman" w:cs="Times New Roman"/>
          <w:sz w:val="23"/>
          <w:szCs w:val="23"/>
          <w:lang w:val="en-US"/>
        </w:rPr>
        <w:t xml:space="preserve">. To create limitations to the rights of a managing director to represent a BV towards third parties that are enforceable </w:t>
      </w:r>
      <w:r w:rsidRPr="009932FE">
        <w:rPr>
          <w:rFonts w:ascii="Times New Roman" w:hAnsi="Times New Roman" w:cs="Times New Roman"/>
          <w:sz w:val="23"/>
          <w:szCs w:val="23"/>
          <w:lang w:val="en-US"/>
        </w:rPr>
        <w:t>against third parties, such limitation must be included in the by-laws of the BV. However, under Dutch law it is not possible to create limitations to the basic power of an individual managing director of a BV to enter into t</w:t>
      </w:r>
      <w:bookmarkStart w:id="0" w:name="_GoBack"/>
      <w:bookmarkEnd w:id="0"/>
      <w:r w:rsidRPr="009932FE">
        <w:rPr>
          <w:rFonts w:ascii="Times New Roman" w:hAnsi="Times New Roman" w:cs="Times New Roman"/>
          <w:sz w:val="23"/>
          <w:szCs w:val="23"/>
          <w:lang w:val="en-US"/>
        </w:rPr>
        <w:t xml:space="preserve">ransactions with third parties, except </w:t>
      </w:r>
      <w:r w:rsidR="008863D3" w:rsidRPr="009932FE">
        <w:rPr>
          <w:rFonts w:ascii="Times New Roman" w:hAnsi="Times New Roman" w:cs="Times New Roman"/>
          <w:sz w:val="23"/>
          <w:szCs w:val="23"/>
          <w:lang w:val="en-US"/>
        </w:rPr>
        <w:t>for</w:t>
      </w:r>
      <w:r w:rsidRPr="009932FE">
        <w:rPr>
          <w:rFonts w:ascii="Times New Roman" w:hAnsi="Times New Roman" w:cs="Times New Roman"/>
          <w:sz w:val="23"/>
          <w:szCs w:val="23"/>
          <w:lang w:val="en-US"/>
        </w:rPr>
        <w:t xml:space="preserve"> the following limitations </w:t>
      </w:r>
      <w:r w:rsidR="008863D3" w:rsidRPr="009932FE">
        <w:rPr>
          <w:rFonts w:ascii="Times New Roman" w:hAnsi="Times New Roman" w:cs="Times New Roman"/>
          <w:sz w:val="23"/>
          <w:szCs w:val="23"/>
          <w:lang w:val="en-US"/>
        </w:rPr>
        <w:t xml:space="preserve">which </w:t>
      </w:r>
      <w:r w:rsidRPr="009932FE">
        <w:rPr>
          <w:rFonts w:ascii="Times New Roman" w:hAnsi="Times New Roman" w:cs="Times New Roman"/>
          <w:sz w:val="23"/>
          <w:szCs w:val="23"/>
          <w:lang w:val="en-US"/>
        </w:rPr>
        <w:t>may be imposed in the by-laws of a BV:</w:t>
      </w:r>
    </w:p>
    <w:p w:rsidR="0078404C" w:rsidRPr="00B50D74" w:rsidRDefault="0078404C" w:rsidP="00325218">
      <w:pPr>
        <w:pStyle w:val="ListParagraph"/>
        <w:numPr>
          <w:ilvl w:val="0"/>
          <w:numId w:val="10"/>
        </w:numPr>
        <w:jc w:val="both"/>
        <w:rPr>
          <w:rFonts w:ascii="Times New Roman" w:hAnsi="Times New Roman" w:cs="Times New Roman"/>
          <w:sz w:val="23"/>
          <w:szCs w:val="23"/>
          <w:lang w:val="en-US"/>
        </w:rPr>
      </w:pPr>
      <w:r w:rsidRPr="009932FE">
        <w:rPr>
          <w:rFonts w:ascii="Times New Roman" w:hAnsi="Times New Roman" w:cs="Times New Roman"/>
          <w:sz w:val="23"/>
          <w:szCs w:val="23"/>
          <w:lang w:val="en-US"/>
        </w:rPr>
        <w:t>the BV will be</w:t>
      </w:r>
      <w:r w:rsidRPr="00B50D74">
        <w:rPr>
          <w:rFonts w:ascii="Times New Roman" w:hAnsi="Times New Roman" w:cs="Times New Roman"/>
          <w:sz w:val="23"/>
          <w:szCs w:val="23"/>
          <w:lang w:val="en-US"/>
        </w:rPr>
        <w:t xml:space="preserve"> bound only if a minimum number of managing directors have acted jointly;</w:t>
      </w:r>
    </w:p>
    <w:p w:rsidR="0078404C" w:rsidRPr="00B50D74" w:rsidRDefault="0078404C" w:rsidP="00325218">
      <w:pPr>
        <w:pStyle w:val="ListParagraph"/>
        <w:numPr>
          <w:ilvl w:val="0"/>
          <w:numId w:val="10"/>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the BV will be bound only if one or more managing directors with defined function(s) or a defined class(es) have acted, either individually or jointly, with other managing directors.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Furthermore, the by-laws of a BV may grant the shareholders (or another corporate body) the right to give the board specific instructions</w:t>
      </w:r>
      <w:r w:rsidR="007E566F" w:rsidRPr="00B50D74">
        <w:rPr>
          <w:rFonts w:ascii="Times New Roman" w:hAnsi="Times New Roman" w:cs="Times New Roman"/>
          <w:sz w:val="23"/>
          <w:szCs w:val="23"/>
          <w:lang w:val="en-US"/>
        </w:rPr>
        <w:t xml:space="preserve"> and may provide for a list of resolutions which require prior approval of the general meeting, or if applicable</w:t>
      </w:r>
      <w:r w:rsidR="008863D3">
        <w:rPr>
          <w:rFonts w:ascii="Times New Roman" w:hAnsi="Times New Roman" w:cs="Times New Roman"/>
          <w:sz w:val="23"/>
          <w:szCs w:val="23"/>
          <w:lang w:val="en-US"/>
        </w:rPr>
        <w:t>,</w:t>
      </w:r>
      <w:r w:rsidR="007E566F" w:rsidRPr="00B50D74">
        <w:rPr>
          <w:rFonts w:ascii="Times New Roman" w:hAnsi="Times New Roman" w:cs="Times New Roman"/>
          <w:sz w:val="23"/>
          <w:szCs w:val="23"/>
          <w:lang w:val="en-US"/>
        </w:rPr>
        <w:t xml:space="preserve"> the supervisory board</w:t>
      </w:r>
      <w:r w:rsidRPr="00B50D74">
        <w:rPr>
          <w:rFonts w:ascii="Times New Roman" w:hAnsi="Times New Roman" w:cs="Times New Roman"/>
          <w:sz w:val="23"/>
          <w:szCs w:val="23"/>
          <w:lang w:val="en-US"/>
        </w:rPr>
        <w:t>. These instructions must be followed by the board, unless such instructions are not in the best interest of the company.</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Does the law of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 permit restrictions on transfer of shares?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 xml:space="preserve">Under Dutch law, restrictions on the transfer of shares are permitted, but not mandatory. The transfer can be subject either to approval of the general meeting (or any other corporate body specified in the by-laws) or to a right of first refusal of the other shareholder(s). Furthermore, Dutch law allows BV’s to include other restrictions on the transfer of shares in the by-laws, such as a lock-up period and restrictions on the transferees (for example the requirement that the transferee must not be a competitor of the BV or any of the current shareholders). These restrictions </w:t>
      </w:r>
      <w:r w:rsidR="00AA4CCF" w:rsidRPr="00B50D74">
        <w:rPr>
          <w:rFonts w:ascii="Times New Roman" w:hAnsi="Times New Roman" w:cs="Times New Roman"/>
          <w:sz w:val="23"/>
          <w:szCs w:val="23"/>
          <w:lang w:val="en-US"/>
        </w:rPr>
        <w:t xml:space="preserve">and corresponding price-setting mechanisms </w:t>
      </w:r>
      <w:r w:rsidRPr="00B50D74">
        <w:rPr>
          <w:rFonts w:ascii="Times New Roman" w:hAnsi="Times New Roman" w:cs="Times New Roman"/>
          <w:sz w:val="23"/>
          <w:szCs w:val="23"/>
          <w:lang w:val="en-US"/>
        </w:rPr>
        <w:t>may also be set out in a shareholders’ agreement.</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Dutch law permits such restrictions, provided that such restrictions may not have the effect that the shares are</w:t>
      </w:r>
      <w:r w:rsidR="008863D3">
        <w:rPr>
          <w:rFonts w:ascii="Times New Roman" w:hAnsi="Times New Roman" w:cs="Times New Roman"/>
          <w:sz w:val="23"/>
          <w:szCs w:val="23"/>
          <w:lang w:val="en-US"/>
        </w:rPr>
        <w:t>,</w:t>
      </w:r>
      <w:r w:rsidRPr="00B50D74">
        <w:rPr>
          <w:rFonts w:ascii="Times New Roman" w:hAnsi="Times New Roman" w:cs="Times New Roman"/>
          <w:sz w:val="23"/>
          <w:szCs w:val="23"/>
          <w:lang w:val="en-US"/>
        </w:rPr>
        <w:t xml:space="preserve"> </w:t>
      </w:r>
      <w:r w:rsidRPr="008863D3">
        <w:rPr>
          <w:rFonts w:ascii="Times New Roman" w:hAnsi="Times New Roman" w:cs="Times New Roman"/>
          <w:i/>
          <w:sz w:val="23"/>
          <w:szCs w:val="23"/>
          <w:lang w:val="en-US"/>
        </w:rPr>
        <w:t>de</w:t>
      </w:r>
      <w:r w:rsidR="00411049" w:rsidRPr="008863D3">
        <w:rPr>
          <w:rFonts w:ascii="Times New Roman" w:hAnsi="Times New Roman" w:cs="Times New Roman"/>
          <w:i/>
          <w:sz w:val="23"/>
          <w:szCs w:val="23"/>
          <w:lang w:val="en-US"/>
        </w:rPr>
        <w:t xml:space="preserve"> </w:t>
      </w:r>
      <w:r w:rsidRPr="008863D3">
        <w:rPr>
          <w:rFonts w:ascii="Times New Roman" w:hAnsi="Times New Roman" w:cs="Times New Roman"/>
          <w:i/>
          <w:sz w:val="23"/>
          <w:szCs w:val="23"/>
          <w:lang w:val="en-US"/>
        </w:rPr>
        <w:t>facto</w:t>
      </w:r>
      <w:r w:rsidR="008863D3">
        <w:rPr>
          <w:rFonts w:ascii="Times New Roman" w:hAnsi="Times New Roman" w:cs="Times New Roman"/>
          <w:i/>
          <w:sz w:val="23"/>
          <w:szCs w:val="23"/>
          <w:lang w:val="en-US"/>
        </w:rPr>
        <w:t>,</w:t>
      </w:r>
      <w:r w:rsidRPr="00B50D74">
        <w:rPr>
          <w:rFonts w:ascii="Times New Roman" w:hAnsi="Times New Roman" w:cs="Times New Roman"/>
          <w:sz w:val="23"/>
          <w:szCs w:val="23"/>
          <w:lang w:val="en-US"/>
        </w:rPr>
        <w:t xml:space="preserve"> non-transferable or the transfer becomes </w:t>
      </w:r>
      <w:r w:rsidR="007E566F" w:rsidRPr="00B50D74">
        <w:rPr>
          <w:rFonts w:ascii="Times New Roman" w:hAnsi="Times New Roman" w:cs="Times New Roman"/>
          <w:sz w:val="23"/>
          <w:szCs w:val="23"/>
          <w:lang w:val="en-US"/>
        </w:rPr>
        <w:t xml:space="preserve">impossible or </w:t>
      </w:r>
      <w:r w:rsidR="00AA4CCF" w:rsidRPr="00B50D74">
        <w:rPr>
          <w:rFonts w:ascii="Times New Roman" w:hAnsi="Times New Roman" w:cs="Times New Roman"/>
          <w:sz w:val="23"/>
          <w:szCs w:val="23"/>
          <w:lang w:val="en-US"/>
        </w:rPr>
        <w:t>unreasona</w:t>
      </w:r>
      <w:r w:rsidR="00411049" w:rsidRPr="00B50D74">
        <w:rPr>
          <w:rFonts w:ascii="Times New Roman" w:hAnsi="Times New Roman" w:cs="Times New Roman"/>
          <w:sz w:val="23"/>
          <w:szCs w:val="23"/>
          <w:lang w:val="en-US"/>
        </w:rPr>
        <w:t>bly</w:t>
      </w:r>
      <w:r w:rsidR="00AA4CCF" w:rsidRPr="00B50D74">
        <w:rPr>
          <w:rFonts w:ascii="Times New Roman" w:hAnsi="Times New Roman" w:cs="Times New Roman"/>
          <w:sz w:val="23"/>
          <w:szCs w:val="23"/>
          <w:lang w:val="en-US"/>
        </w:rPr>
        <w:t xml:space="preserve"> disadvantageous</w:t>
      </w:r>
      <w:r w:rsidRPr="00B50D74">
        <w:rPr>
          <w:rFonts w:ascii="Times New Roman" w:hAnsi="Times New Roman" w:cs="Times New Roman"/>
          <w:sz w:val="23"/>
          <w:szCs w:val="23"/>
          <w:lang w:val="en-US"/>
        </w:rPr>
        <w:t xml:space="preserve"> (</w:t>
      </w:r>
      <w:r w:rsidRPr="00B50D74">
        <w:rPr>
          <w:rFonts w:ascii="Times New Roman" w:hAnsi="Times New Roman" w:cs="Times New Roman"/>
          <w:i/>
          <w:sz w:val="23"/>
          <w:szCs w:val="23"/>
          <w:lang w:val="en-US"/>
        </w:rPr>
        <w:t>uiterst bezwaarlijk</w:t>
      </w:r>
      <w:r w:rsidRPr="00B50D74">
        <w:rPr>
          <w:rFonts w:ascii="Times New Roman" w:hAnsi="Times New Roman" w:cs="Times New Roman"/>
          <w:sz w:val="23"/>
          <w:szCs w:val="23"/>
          <w:lang w:val="en-US"/>
        </w:rPr>
        <w:t>)</w:t>
      </w:r>
      <w:r w:rsidR="00AA4CCF" w:rsidRPr="00B50D74">
        <w:rPr>
          <w:rFonts w:ascii="Times New Roman" w:hAnsi="Times New Roman" w:cs="Times New Roman"/>
          <w:sz w:val="23"/>
          <w:szCs w:val="23"/>
          <w:lang w:val="en-US"/>
        </w:rPr>
        <w:t xml:space="preserve"> </w:t>
      </w:r>
      <w:r w:rsidR="007E566F" w:rsidRPr="00B50D74">
        <w:rPr>
          <w:rFonts w:ascii="Times New Roman" w:hAnsi="Times New Roman" w:cs="Times New Roman"/>
          <w:sz w:val="23"/>
          <w:szCs w:val="23"/>
          <w:lang w:val="en-US"/>
        </w:rPr>
        <w:t>for</w:t>
      </w:r>
      <w:r w:rsidR="00AA4CCF" w:rsidRPr="00B50D74">
        <w:rPr>
          <w:rFonts w:ascii="Times New Roman" w:hAnsi="Times New Roman" w:cs="Times New Roman"/>
          <w:sz w:val="23"/>
          <w:szCs w:val="23"/>
          <w:lang w:val="en-US"/>
        </w:rPr>
        <w:t xml:space="preserve"> a shareholder</w:t>
      </w:r>
      <w:r w:rsidRPr="00B50D74">
        <w:rPr>
          <w:rFonts w:ascii="Times New Roman" w:hAnsi="Times New Roman" w:cs="Times New Roman"/>
          <w:sz w:val="23"/>
          <w:szCs w:val="23"/>
          <w:lang w:val="en-US"/>
        </w:rPr>
        <w:t>. For example, a lock-up period unlimited in time is not permitted under Dutch law.</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lastRenderedPageBreak/>
        <w:t xml:space="preserve">What mechanisms do the law of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 permit for regulating share transfers?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Shareholders’ agreements governed by Dutch law and regulating a BV, often contain the following mechanisms regulating share transfers:</w:t>
      </w:r>
    </w:p>
    <w:p w:rsidR="0078404C" w:rsidRPr="00B50D74" w:rsidRDefault="0078404C" w:rsidP="00325218">
      <w:pPr>
        <w:pStyle w:val="ListParagraph"/>
        <w:numPr>
          <w:ilvl w:val="0"/>
          <w:numId w:val="12"/>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Transfer restriction mechanisms (including rights of first refusal, lock-up periods, restrictions on the transferees);</w:t>
      </w:r>
    </w:p>
    <w:p w:rsidR="0078404C" w:rsidRPr="00B50D74" w:rsidRDefault="0078404C" w:rsidP="00325218">
      <w:pPr>
        <w:pStyle w:val="ListParagraph"/>
        <w:numPr>
          <w:ilvl w:val="0"/>
          <w:numId w:val="12"/>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Mechanisms in respect of intra-group transfers;</w:t>
      </w:r>
    </w:p>
    <w:p w:rsidR="0078404C" w:rsidRPr="00B50D74" w:rsidRDefault="00411049" w:rsidP="00325218">
      <w:pPr>
        <w:pStyle w:val="ListParagraph"/>
        <w:numPr>
          <w:ilvl w:val="0"/>
          <w:numId w:val="12"/>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Drag- and tag-</w:t>
      </w:r>
      <w:r w:rsidR="0078404C" w:rsidRPr="00B50D74">
        <w:rPr>
          <w:rFonts w:ascii="Times New Roman" w:hAnsi="Times New Roman" w:cs="Times New Roman"/>
          <w:sz w:val="23"/>
          <w:szCs w:val="23"/>
          <w:lang w:val="en-US"/>
        </w:rPr>
        <w:t>along rights;</w:t>
      </w:r>
    </w:p>
    <w:p w:rsidR="0078404C" w:rsidRPr="00B50D74" w:rsidRDefault="0078404C" w:rsidP="00325218">
      <w:pPr>
        <w:pStyle w:val="ListParagraph"/>
        <w:numPr>
          <w:ilvl w:val="0"/>
          <w:numId w:val="12"/>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Ba</w:t>
      </w:r>
      <w:r w:rsidRPr="00D02994">
        <w:rPr>
          <w:rFonts w:ascii="Times New Roman" w:hAnsi="Times New Roman" w:cs="Times New Roman"/>
          <w:sz w:val="23"/>
          <w:szCs w:val="23"/>
          <w:lang w:val="en-US"/>
        </w:rPr>
        <w:t>d-</w:t>
      </w:r>
      <w:r w:rsidRPr="00B50D74">
        <w:rPr>
          <w:rFonts w:ascii="Times New Roman" w:hAnsi="Times New Roman" w:cs="Times New Roman"/>
          <w:sz w:val="23"/>
          <w:szCs w:val="23"/>
          <w:lang w:val="en-US"/>
        </w:rPr>
        <w:t xml:space="preserve"> and good leaver mechanisms; and</w:t>
      </w:r>
    </w:p>
    <w:p w:rsidR="0078404C" w:rsidRPr="00B50D74" w:rsidRDefault="0078404C" w:rsidP="00325218">
      <w:pPr>
        <w:pStyle w:val="ListParagraph"/>
        <w:numPr>
          <w:ilvl w:val="0"/>
          <w:numId w:val="12"/>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Mandatory offering mechanisms (</w:t>
      </w:r>
      <w:r w:rsidRPr="00B50D74">
        <w:rPr>
          <w:rFonts w:ascii="Times New Roman" w:hAnsi="Times New Roman" w:cs="Times New Roman"/>
          <w:i/>
          <w:sz w:val="23"/>
          <w:szCs w:val="23"/>
          <w:lang w:val="en-US"/>
        </w:rPr>
        <w:t>e.g.</w:t>
      </w:r>
      <w:r w:rsidRPr="00B50D74">
        <w:rPr>
          <w:rFonts w:ascii="Times New Roman" w:hAnsi="Times New Roman" w:cs="Times New Roman"/>
          <w:sz w:val="23"/>
          <w:szCs w:val="23"/>
          <w:lang w:val="en-US"/>
        </w:rPr>
        <w:t xml:space="preserve"> in default situations, or in the event of a change of control in respect of a shareholder).</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 xml:space="preserve">As set out under </w:t>
      </w:r>
      <w:r w:rsidR="008863D3">
        <w:rPr>
          <w:rFonts w:ascii="Times New Roman" w:hAnsi="Times New Roman" w:cs="Times New Roman"/>
          <w:sz w:val="23"/>
          <w:szCs w:val="23"/>
          <w:lang w:val="en-US"/>
        </w:rPr>
        <w:t>section</w:t>
      </w:r>
      <w:r w:rsidRPr="00B50D74">
        <w:rPr>
          <w:rFonts w:ascii="Times New Roman" w:hAnsi="Times New Roman" w:cs="Times New Roman"/>
          <w:sz w:val="23"/>
          <w:szCs w:val="23"/>
          <w:lang w:val="en-US"/>
        </w:rPr>
        <w:t xml:space="preserve"> 7 above, such mechanisms are permitted under Dutch law to the extent these do not (i) have the effect that the shares are</w:t>
      </w:r>
      <w:r w:rsidR="008863D3">
        <w:rPr>
          <w:rFonts w:ascii="Times New Roman" w:hAnsi="Times New Roman" w:cs="Times New Roman"/>
          <w:sz w:val="23"/>
          <w:szCs w:val="23"/>
          <w:lang w:val="en-US"/>
        </w:rPr>
        <w:t>,</w:t>
      </w:r>
      <w:r w:rsidRPr="00B50D74">
        <w:rPr>
          <w:rFonts w:ascii="Times New Roman" w:hAnsi="Times New Roman" w:cs="Times New Roman"/>
          <w:sz w:val="23"/>
          <w:szCs w:val="23"/>
          <w:lang w:val="en-US"/>
        </w:rPr>
        <w:t xml:space="preserve"> </w:t>
      </w:r>
      <w:r w:rsidRPr="008863D3">
        <w:rPr>
          <w:rFonts w:ascii="Times New Roman" w:hAnsi="Times New Roman" w:cs="Times New Roman"/>
          <w:i/>
          <w:sz w:val="23"/>
          <w:szCs w:val="23"/>
          <w:lang w:val="en-US"/>
        </w:rPr>
        <w:t>de facto</w:t>
      </w:r>
      <w:r w:rsidR="008863D3">
        <w:rPr>
          <w:rFonts w:ascii="Times New Roman" w:hAnsi="Times New Roman" w:cs="Times New Roman"/>
          <w:i/>
          <w:sz w:val="23"/>
          <w:szCs w:val="23"/>
          <w:lang w:val="en-US"/>
        </w:rPr>
        <w:t>,</w:t>
      </w:r>
      <w:r w:rsidRPr="00B50D74">
        <w:rPr>
          <w:rFonts w:ascii="Times New Roman" w:hAnsi="Times New Roman" w:cs="Times New Roman"/>
          <w:sz w:val="23"/>
          <w:szCs w:val="23"/>
          <w:lang w:val="en-US"/>
        </w:rPr>
        <w:t xml:space="preserve"> non-transferable or the transfer thereof becomes </w:t>
      </w:r>
      <w:r w:rsidR="00411049" w:rsidRPr="00B50D74">
        <w:rPr>
          <w:rFonts w:ascii="Times New Roman" w:hAnsi="Times New Roman" w:cs="Times New Roman"/>
          <w:sz w:val="23"/>
          <w:szCs w:val="23"/>
          <w:lang w:val="en-US"/>
        </w:rPr>
        <w:t>impossible or unreasonably</w:t>
      </w:r>
      <w:r w:rsidR="00956F5F" w:rsidRPr="00B50D74">
        <w:rPr>
          <w:rFonts w:ascii="Times New Roman" w:hAnsi="Times New Roman" w:cs="Times New Roman"/>
          <w:sz w:val="23"/>
          <w:szCs w:val="23"/>
          <w:lang w:val="en-US"/>
        </w:rPr>
        <w:t xml:space="preserve"> disadvantageous for a shareholder </w:t>
      </w:r>
      <w:r w:rsidRPr="00B50D74">
        <w:rPr>
          <w:rFonts w:ascii="Times New Roman" w:hAnsi="Times New Roman" w:cs="Times New Roman"/>
          <w:sz w:val="23"/>
          <w:szCs w:val="23"/>
          <w:lang w:val="en-US"/>
        </w:rPr>
        <w:t>or (ii) otherwise conflict with mandatory Dutch law.</w:t>
      </w:r>
    </w:p>
    <w:p w:rsidR="002F5C1E" w:rsidRPr="00B50D74" w:rsidRDefault="00F1528A" w:rsidP="00325218">
      <w:pPr>
        <w:jc w:val="both"/>
        <w:rPr>
          <w:rFonts w:ascii="Times New Roman" w:hAnsi="Times New Roman" w:cs="Times New Roman"/>
          <w:b/>
          <w:sz w:val="23"/>
          <w:szCs w:val="23"/>
          <w:lang w:val="en-US"/>
        </w:rPr>
      </w:pPr>
      <w:r w:rsidRPr="00B50D74">
        <w:rPr>
          <w:rFonts w:ascii="Times New Roman" w:hAnsi="Times New Roman" w:cs="Times New Roman"/>
          <w:sz w:val="23"/>
          <w:szCs w:val="23"/>
          <w:lang w:val="en-US"/>
        </w:rPr>
        <w:t>M</w:t>
      </w:r>
      <w:r w:rsidR="0078404C" w:rsidRPr="00B50D74">
        <w:rPr>
          <w:rFonts w:ascii="Times New Roman" w:hAnsi="Times New Roman" w:cs="Times New Roman"/>
          <w:sz w:val="23"/>
          <w:szCs w:val="23"/>
          <w:lang w:val="en-US"/>
        </w:rPr>
        <w:t xml:space="preserve">ost of the mechanisms mentioned above </w:t>
      </w:r>
      <w:r w:rsidRPr="00B50D74">
        <w:rPr>
          <w:rFonts w:ascii="Times New Roman" w:hAnsi="Times New Roman" w:cs="Times New Roman"/>
          <w:sz w:val="23"/>
          <w:szCs w:val="23"/>
          <w:lang w:val="en-US"/>
        </w:rPr>
        <w:t xml:space="preserve">may </w:t>
      </w:r>
      <w:r w:rsidR="00411049" w:rsidRPr="00B50D74">
        <w:rPr>
          <w:rFonts w:ascii="Times New Roman" w:hAnsi="Times New Roman" w:cs="Times New Roman"/>
          <w:sz w:val="23"/>
          <w:szCs w:val="23"/>
          <w:lang w:val="en-US"/>
        </w:rPr>
        <w:t>also</w:t>
      </w:r>
      <w:r w:rsidR="0078404C" w:rsidRPr="00B50D74">
        <w:rPr>
          <w:rFonts w:ascii="Times New Roman" w:hAnsi="Times New Roman" w:cs="Times New Roman"/>
          <w:sz w:val="23"/>
          <w:szCs w:val="23"/>
          <w:lang w:val="en-US"/>
        </w:rPr>
        <w:t xml:space="preserve"> be included in the by-laws of a BV. </w:t>
      </w:r>
      <w:r w:rsidR="00B359DE" w:rsidRPr="00B50D74">
        <w:rPr>
          <w:rFonts w:ascii="Times New Roman" w:hAnsi="Times New Roman" w:cs="Times New Roman"/>
          <w:sz w:val="23"/>
          <w:szCs w:val="23"/>
          <w:lang w:val="en-US"/>
        </w:rPr>
        <w:t>This has the important effect that share transfers to third parties in violation of such requirements, are invalid, rather than (merely</w:t>
      </w:r>
      <w:r w:rsidR="002F5C1E" w:rsidRPr="00B50D74">
        <w:rPr>
          <w:rFonts w:ascii="Times New Roman" w:hAnsi="Times New Roman" w:cs="Times New Roman"/>
          <w:sz w:val="23"/>
          <w:szCs w:val="23"/>
          <w:lang w:val="en-US"/>
        </w:rPr>
        <w:t>)</w:t>
      </w:r>
      <w:r w:rsidR="00B359DE" w:rsidRPr="00B50D74">
        <w:rPr>
          <w:rFonts w:ascii="Times New Roman" w:hAnsi="Times New Roman" w:cs="Times New Roman"/>
          <w:sz w:val="23"/>
          <w:szCs w:val="23"/>
          <w:lang w:val="en-US"/>
        </w:rPr>
        <w:t xml:space="preserve"> constituting a breach of contract</w:t>
      </w:r>
      <w:r w:rsidR="002F5C1E" w:rsidRPr="00B50D74">
        <w:rPr>
          <w:rFonts w:ascii="Times New Roman" w:hAnsi="Times New Roman" w:cs="Times New Roman"/>
          <w:sz w:val="23"/>
          <w:szCs w:val="23"/>
          <w:lang w:val="en-US"/>
        </w:rPr>
        <w:t xml:space="preserve"> (which does not nullify the transfer of the shares)</w:t>
      </w:r>
      <w:r w:rsidR="00B359DE" w:rsidRPr="00B50D74">
        <w:rPr>
          <w:rFonts w:ascii="Times New Roman" w:hAnsi="Times New Roman" w:cs="Times New Roman"/>
          <w:sz w:val="23"/>
          <w:szCs w:val="23"/>
          <w:lang w:val="en-US"/>
        </w:rPr>
        <w:t>.</w:t>
      </w:r>
      <w:r w:rsidR="0042460A" w:rsidRPr="00B50D74">
        <w:rPr>
          <w:rFonts w:ascii="Times New Roman" w:hAnsi="Times New Roman" w:cs="Times New Roman"/>
          <w:sz w:val="23"/>
          <w:szCs w:val="23"/>
          <w:lang w:val="en-US"/>
        </w:rPr>
        <w:t xml:space="preserve"> It is possible to include in the by</w:t>
      </w:r>
      <w:r w:rsidR="00AA4CCF" w:rsidRPr="00B50D74">
        <w:rPr>
          <w:rFonts w:ascii="Times New Roman" w:hAnsi="Times New Roman" w:cs="Times New Roman"/>
          <w:sz w:val="23"/>
          <w:szCs w:val="23"/>
          <w:lang w:val="en-US"/>
        </w:rPr>
        <w:t>-</w:t>
      </w:r>
      <w:r w:rsidR="0042460A" w:rsidRPr="00B50D74">
        <w:rPr>
          <w:rFonts w:ascii="Times New Roman" w:hAnsi="Times New Roman" w:cs="Times New Roman"/>
          <w:sz w:val="23"/>
          <w:szCs w:val="23"/>
          <w:lang w:val="en-US"/>
        </w:rPr>
        <w:t xml:space="preserve">laws a provision to the effect that as a consequence </w:t>
      </w:r>
      <w:r w:rsidR="008008D3" w:rsidRPr="00B50D74">
        <w:rPr>
          <w:rFonts w:ascii="Times New Roman" w:hAnsi="Times New Roman" w:cs="Times New Roman"/>
          <w:sz w:val="23"/>
          <w:szCs w:val="23"/>
          <w:lang w:val="en-US"/>
        </w:rPr>
        <w:t>of default under (contractual) obligations, the rights</w:t>
      </w:r>
      <w:r w:rsidR="00956F5F" w:rsidRPr="00B50D74">
        <w:rPr>
          <w:rFonts w:ascii="Times New Roman" w:hAnsi="Times New Roman" w:cs="Times New Roman"/>
          <w:sz w:val="23"/>
          <w:szCs w:val="23"/>
          <w:lang w:val="en-US"/>
        </w:rPr>
        <w:t xml:space="preserve"> of the defaulting shareholder</w:t>
      </w:r>
      <w:r w:rsidR="008008D3" w:rsidRPr="00B50D74">
        <w:rPr>
          <w:rFonts w:ascii="Times New Roman" w:hAnsi="Times New Roman" w:cs="Times New Roman"/>
          <w:sz w:val="23"/>
          <w:szCs w:val="23"/>
          <w:lang w:val="en-US"/>
        </w:rPr>
        <w:t xml:space="preserve"> (voting and profit entitlement) </w:t>
      </w:r>
      <w:r w:rsidR="00956F5F" w:rsidRPr="00B50D74">
        <w:rPr>
          <w:rFonts w:ascii="Times New Roman" w:hAnsi="Times New Roman" w:cs="Times New Roman"/>
          <w:sz w:val="23"/>
          <w:szCs w:val="23"/>
          <w:lang w:val="en-US"/>
        </w:rPr>
        <w:t>will</w:t>
      </w:r>
      <w:r w:rsidR="008008D3" w:rsidRPr="00B50D74">
        <w:rPr>
          <w:rFonts w:ascii="Times New Roman" w:hAnsi="Times New Roman" w:cs="Times New Roman"/>
          <w:sz w:val="23"/>
          <w:szCs w:val="23"/>
          <w:lang w:val="en-US"/>
        </w:rPr>
        <w:t xml:space="preserve"> be suspended</w:t>
      </w:r>
      <w:r w:rsidR="00956F5F" w:rsidRPr="00B50D74">
        <w:rPr>
          <w:rFonts w:ascii="Times New Roman" w:hAnsi="Times New Roman" w:cs="Times New Roman"/>
          <w:sz w:val="23"/>
          <w:szCs w:val="23"/>
          <w:lang w:val="en-US"/>
        </w:rPr>
        <w:t xml:space="preserve"> as long as the default situation is continuing</w:t>
      </w:r>
      <w:r w:rsidR="008008D3" w:rsidRPr="00B50D74">
        <w:rPr>
          <w:rFonts w:ascii="Times New Roman" w:hAnsi="Times New Roman" w:cs="Times New Roman"/>
          <w:sz w:val="23"/>
          <w:szCs w:val="23"/>
          <w:lang w:val="en-US"/>
        </w:rPr>
        <w:t>.</w:t>
      </w:r>
      <w:r w:rsidR="00B359DE" w:rsidRPr="00B50D74">
        <w:rPr>
          <w:rFonts w:ascii="Times New Roman" w:hAnsi="Times New Roman" w:cs="Times New Roman"/>
          <w:sz w:val="23"/>
          <w:szCs w:val="23"/>
          <w:lang w:val="en-US"/>
        </w:rPr>
        <w:t xml:space="preserve"> </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In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 do by</w:t>
      </w:r>
      <w:r w:rsidR="00AA4CCF" w:rsidRPr="00CC6828">
        <w:rPr>
          <w:rFonts w:ascii="Times New Roman" w:hAnsi="Times New Roman" w:cs="Times New Roman"/>
          <w:b/>
          <w:sz w:val="23"/>
          <w:szCs w:val="23"/>
          <w:lang w:val="en-US"/>
        </w:rPr>
        <w:t>-</w:t>
      </w:r>
      <w:r w:rsidRPr="00CC6828">
        <w:rPr>
          <w:rFonts w:ascii="Times New Roman" w:hAnsi="Times New Roman" w:cs="Times New Roman"/>
          <w:b/>
          <w:sz w:val="23"/>
          <w:szCs w:val="23"/>
          <w:lang w:val="en-US"/>
        </w:rPr>
        <w:t>laws tend to be tailor-drafted, or do they tend to use standard formats?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The by-laws of a BV are tailor-drafted, based on standard formats. Dutch corporate law provides for standard requirements for the by-laws of a BV, these standard requirements form the starting point for the by-laws.</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What are the motives in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 for executing shareholders’ agreements?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There are various motives for executing shareholders’ agreements in respect of a BV. The most important motives to enter into a shareholders’ agreement are the following:</w:t>
      </w:r>
    </w:p>
    <w:p w:rsidR="0078404C" w:rsidRPr="00B50D74" w:rsidRDefault="0078404C" w:rsidP="00325218">
      <w:pPr>
        <w:pStyle w:val="ListParagraph"/>
        <w:numPr>
          <w:ilvl w:val="0"/>
          <w:numId w:val="13"/>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(the contents of) shareholders’ agreements are, in contrast with the by-laws of a BV, not public. Therefore, certain provisions that could be included in both the by-laws of a BV and the shareholders’ agreement (e.g. provisions regarding the pric</w:t>
      </w:r>
      <w:r w:rsidR="00AA4CCF" w:rsidRPr="00B50D74">
        <w:rPr>
          <w:rFonts w:ascii="Times New Roman" w:hAnsi="Times New Roman" w:cs="Times New Roman"/>
          <w:sz w:val="23"/>
          <w:szCs w:val="23"/>
          <w:lang w:val="en-US"/>
        </w:rPr>
        <w:t>ing arrangement</w:t>
      </w:r>
      <w:r w:rsidRPr="00B50D74">
        <w:rPr>
          <w:rFonts w:ascii="Times New Roman" w:hAnsi="Times New Roman" w:cs="Times New Roman"/>
          <w:sz w:val="23"/>
          <w:szCs w:val="23"/>
          <w:lang w:val="en-US"/>
        </w:rPr>
        <w:t xml:space="preserve"> </w:t>
      </w:r>
      <w:r w:rsidR="00AA4CCF" w:rsidRPr="00B50D74">
        <w:rPr>
          <w:rFonts w:ascii="Times New Roman" w:hAnsi="Times New Roman" w:cs="Times New Roman"/>
          <w:sz w:val="23"/>
          <w:szCs w:val="23"/>
          <w:lang w:val="en-US"/>
        </w:rPr>
        <w:t>for</w:t>
      </w:r>
      <w:r w:rsidRPr="00B50D74">
        <w:rPr>
          <w:rFonts w:ascii="Times New Roman" w:hAnsi="Times New Roman" w:cs="Times New Roman"/>
          <w:sz w:val="23"/>
          <w:szCs w:val="23"/>
          <w:lang w:val="en-US"/>
        </w:rPr>
        <w:t xml:space="preserve"> the shares) are often included in the shareholders’ agreement instead of the by-laws of a BV for reasons of confidentiality. Furthermore, since shareholders’ agreements are not public, third parties (in principle) cannot derive rights from shareholders’ agreements;</w:t>
      </w:r>
    </w:p>
    <w:p w:rsidR="0078404C" w:rsidRPr="00B50D74" w:rsidRDefault="0078404C" w:rsidP="00325218">
      <w:pPr>
        <w:pStyle w:val="ListParagraph"/>
        <w:numPr>
          <w:ilvl w:val="0"/>
          <w:numId w:val="13"/>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shareholders’ agreements allow a larger freedom of contract than by-laws;</w:t>
      </w:r>
    </w:p>
    <w:p w:rsidR="00AA4CCF" w:rsidRPr="00B50D74" w:rsidRDefault="00AA4CCF" w:rsidP="00325218">
      <w:pPr>
        <w:pStyle w:val="ListParagraph"/>
        <w:numPr>
          <w:ilvl w:val="0"/>
          <w:numId w:val="13"/>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lastRenderedPageBreak/>
        <w:t>changing the by-laws requires the execution of a notarial deed passed before a civil-law notary</w:t>
      </w:r>
      <w:r w:rsidR="00EA3CC7" w:rsidRPr="00B50D74">
        <w:rPr>
          <w:rFonts w:ascii="Times New Roman" w:hAnsi="Times New Roman" w:cs="Times New Roman"/>
          <w:sz w:val="23"/>
          <w:szCs w:val="23"/>
          <w:lang w:val="en-US"/>
        </w:rPr>
        <w:t xml:space="preserve"> based on a resolution of the general meeting</w:t>
      </w:r>
      <w:r w:rsidRPr="00B50D74">
        <w:rPr>
          <w:rFonts w:ascii="Times New Roman" w:hAnsi="Times New Roman" w:cs="Times New Roman"/>
          <w:sz w:val="23"/>
          <w:szCs w:val="23"/>
          <w:lang w:val="en-US"/>
        </w:rPr>
        <w:t xml:space="preserve">; a shareholders agreement offers more flexibility </w:t>
      </w:r>
      <w:r w:rsidR="00EA3CC7" w:rsidRPr="00B50D74">
        <w:rPr>
          <w:rFonts w:ascii="Times New Roman" w:hAnsi="Times New Roman" w:cs="Times New Roman"/>
          <w:sz w:val="23"/>
          <w:szCs w:val="23"/>
          <w:lang w:val="en-US"/>
        </w:rPr>
        <w:t xml:space="preserve">in this respect </w:t>
      </w:r>
      <w:r w:rsidRPr="00B50D74">
        <w:rPr>
          <w:rFonts w:ascii="Times New Roman" w:hAnsi="Times New Roman" w:cs="Times New Roman"/>
          <w:sz w:val="23"/>
          <w:szCs w:val="23"/>
          <w:lang w:val="en-US"/>
        </w:rPr>
        <w:t>as it can be amended by private agreement.</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What contents tend to be included in shareholders’ agreements in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The following matters/subjects are customary to be arranged for in shareholders’ agreements relating to a BV:</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Business and objectives of the BV;</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Share capital and respective shareholdings;</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Capitalization, funding and financing;</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Governance of the BV (including the composition of the board of directors and, if applicable, the supervisory board and arrangements regarding the decision making of the board of directors, the shareholders’ meeting and, if applicable, the supervisory board);</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Reporting to the shareholders;</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Distribution policy;</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Transfer restrictions and transfer requirements;</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 xml:space="preserve">Exit mechanisms (including mandatory offering, rights of first refusal, drag- and tag-along rights and if </w:t>
      </w:r>
      <w:r w:rsidRPr="00D02994">
        <w:rPr>
          <w:rFonts w:ascii="Times New Roman" w:hAnsi="Times New Roman" w:cs="Times New Roman"/>
          <w:sz w:val="23"/>
          <w:szCs w:val="23"/>
          <w:lang w:val="en-US"/>
        </w:rPr>
        <w:t>applicable, good- and</w:t>
      </w:r>
      <w:r w:rsidRPr="00B50D74">
        <w:rPr>
          <w:rFonts w:ascii="Times New Roman" w:hAnsi="Times New Roman" w:cs="Times New Roman"/>
          <w:sz w:val="23"/>
          <w:szCs w:val="23"/>
          <w:lang w:val="en-US"/>
        </w:rPr>
        <w:t xml:space="preserve"> bad leaver clauses);</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Minority protection (e.g. veto rights);</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Deadlock mechanism;</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Restrictive covenants;</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Confidentiality;</w:t>
      </w:r>
    </w:p>
    <w:p w:rsidR="0078404C" w:rsidRPr="00B50D74" w:rsidRDefault="0078404C" w:rsidP="00325218">
      <w:pPr>
        <w:pStyle w:val="ListParagraph"/>
        <w:numPr>
          <w:ilvl w:val="0"/>
          <w:numId w:val="8"/>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Termination.</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What determines the content included in shareholders’ agreements in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The content of a shareholders’ agreement in respect of a BV depends on several circumstances, such as the identity of the shareholders, the relation between the shareholders and the objectives of their relationship and the business and the objectives of the BV governed by such shareholders’ agreement.</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What are the most common types of clauses in shareholders’ agreements in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The following clauses are customary to be included in shareholders’ agreements relating to a BV:</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Clauses regarding the share capital of the BV and the respective shareholdings;</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Clauses in respect of the business and the objectives of the BV;</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Governance clauses (including clauses governing (i) the composition of the board of directors and, if applicable, the supervisory board and (ii) the decision making of the corporate bodies);</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Reporting clauses;</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Clauses governing the capitalization, funding and financing of the BV;</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lastRenderedPageBreak/>
        <w:t>Clauses in respect of share transfer restrictions (rights of first refusal) and share transfer requirements;</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Mandatory offering clauses;</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D02994">
        <w:rPr>
          <w:rFonts w:ascii="Times New Roman" w:hAnsi="Times New Roman" w:cs="Times New Roman"/>
          <w:sz w:val="23"/>
          <w:szCs w:val="23"/>
          <w:lang w:val="en-US"/>
        </w:rPr>
        <w:t>Good- and</w:t>
      </w:r>
      <w:r w:rsidRPr="00B50D74">
        <w:rPr>
          <w:rFonts w:ascii="Times New Roman" w:hAnsi="Times New Roman" w:cs="Times New Roman"/>
          <w:sz w:val="23"/>
          <w:szCs w:val="23"/>
          <w:lang w:val="en-US"/>
        </w:rPr>
        <w:t xml:space="preserve"> bad leaver clauses;</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Exit clauses (including tag- and drag-along clauses);</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Deadlock mechanism clauses;</w:t>
      </w:r>
    </w:p>
    <w:p w:rsidR="0078404C" w:rsidRPr="00B50D74" w:rsidRDefault="0078404C" w:rsidP="00325218">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Clauses in respect of the distribution policy;</w:t>
      </w:r>
    </w:p>
    <w:p w:rsidR="0078404C" w:rsidRPr="00B50D74" w:rsidRDefault="0078404C" w:rsidP="00286DAC">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Restrictive covenants clauses (e.g. non-compete clauses); and</w:t>
      </w:r>
    </w:p>
    <w:p w:rsidR="00286DAC" w:rsidRPr="00286DAC" w:rsidRDefault="0078404C" w:rsidP="00286DAC">
      <w:pPr>
        <w:pStyle w:val="ListParagraph"/>
        <w:numPr>
          <w:ilvl w:val="0"/>
          <w:numId w:val="7"/>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Confidentiality clauses.</w:t>
      </w:r>
    </w:p>
    <w:p w:rsidR="0078404C" w:rsidRPr="00CC6828" w:rsidRDefault="0078404C" w:rsidP="00286DAC">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What mechanisms does the law of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 permit to ensure participation of minorities on the board of directors and its control?</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Participation on the board:</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 xml:space="preserve">Under Dutch law, the by-laws (and the shareholders’ agreement) of a BV may provide that </w:t>
      </w:r>
      <w:r w:rsidR="002B1110" w:rsidRPr="00B50D74">
        <w:rPr>
          <w:rFonts w:ascii="Times New Roman" w:hAnsi="Times New Roman" w:cs="Times New Roman"/>
          <w:sz w:val="23"/>
          <w:szCs w:val="23"/>
          <w:lang w:val="en-US"/>
        </w:rPr>
        <w:t xml:space="preserve">direct appointment rights (for example with regard to </w:t>
      </w:r>
      <w:r w:rsidR="0047457E" w:rsidRPr="00B50D74">
        <w:rPr>
          <w:rFonts w:ascii="Times New Roman" w:hAnsi="Times New Roman" w:cs="Times New Roman"/>
          <w:sz w:val="23"/>
          <w:szCs w:val="23"/>
          <w:lang w:val="en-US"/>
        </w:rPr>
        <w:t xml:space="preserve">its own managing director and/or supervisory director </w:t>
      </w:r>
      <w:r w:rsidR="002B1110" w:rsidRPr="00B50D74">
        <w:rPr>
          <w:rFonts w:ascii="Times New Roman" w:hAnsi="Times New Roman" w:cs="Times New Roman"/>
          <w:sz w:val="23"/>
          <w:szCs w:val="23"/>
          <w:lang w:val="en-US"/>
        </w:rPr>
        <w:t>(if applicable)</w:t>
      </w:r>
      <w:r w:rsidR="0047457E" w:rsidRPr="00B50D74">
        <w:rPr>
          <w:rFonts w:ascii="Times New Roman" w:hAnsi="Times New Roman" w:cs="Times New Roman"/>
          <w:sz w:val="23"/>
          <w:szCs w:val="23"/>
          <w:lang w:val="en-US"/>
        </w:rPr>
        <w:t xml:space="preserve">) are attached to </w:t>
      </w:r>
      <w:r w:rsidRPr="00B50D74">
        <w:rPr>
          <w:rFonts w:ascii="Times New Roman" w:hAnsi="Times New Roman" w:cs="Times New Roman"/>
          <w:sz w:val="23"/>
          <w:szCs w:val="23"/>
          <w:lang w:val="en-US"/>
        </w:rPr>
        <w:t xml:space="preserve">a certain class or </w:t>
      </w:r>
      <w:r w:rsidR="002B1110" w:rsidRPr="00B50D74">
        <w:rPr>
          <w:rFonts w:ascii="Times New Roman" w:hAnsi="Times New Roman" w:cs="Times New Roman"/>
          <w:sz w:val="23"/>
          <w:szCs w:val="23"/>
          <w:lang w:val="en-US"/>
        </w:rPr>
        <w:t xml:space="preserve">type </w:t>
      </w:r>
      <w:r w:rsidR="0047457E" w:rsidRPr="00B50D74">
        <w:rPr>
          <w:rFonts w:ascii="Times New Roman" w:hAnsi="Times New Roman" w:cs="Times New Roman"/>
          <w:sz w:val="23"/>
          <w:szCs w:val="23"/>
          <w:lang w:val="en-US"/>
        </w:rPr>
        <w:t>of shares making binding nomination structures and accompanying voting agreement redundant</w:t>
      </w:r>
      <w:r w:rsidR="00620881" w:rsidRPr="00B50D74">
        <w:rPr>
          <w:rFonts w:ascii="Times New Roman" w:hAnsi="Times New Roman" w:cs="Times New Roman"/>
          <w:sz w:val="23"/>
          <w:szCs w:val="23"/>
          <w:lang w:val="en-US"/>
        </w:rPr>
        <w:t xml:space="preserve"> </w:t>
      </w:r>
      <w:r w:rsidRPr="00B50D74">
        <w:rPr>
          <w:rFonts w:ascii="Times New Roman" w:hAnsi="Times New Roman" w:cs="Times New Roman"/>
          <w:sz w:val="23"/>
          <w:szCs w:val="23"/>
          <w:lang w:val="en-US"/>
        </w:rPr>
        <w:t>(if applicable). The by-laws can also grant the exclusive right to suspend or dismiss such managing director and/or supervisory director to the relevant shareholder. This right cannot be overruled by the other shareholders. Please note that if the mandatory two-tier regime (</w:t>
      </w:r>
      <w:r w:rsidRPr="00B50D74">
        <w:rPr>
          <w:rFonts w:ascii="Times New Roman" w:hAnsi="Times New Roman" w:cs="Times New Roman"/>
          <w:i/>
          <w:sz w:val="23"/>
          <w:szCs w:val="23"/>
          <w:lang w:val="en-US"/>
        </w:rPr>
        <w:t>structuurregime</w:t>
      </w:r>
      <w:r w:rsidRPr="00B50D74">
        <w:rPr>
          <w:rFonts w:ascii="Times New Roman" w:hAnsi="Times New Roman" w:cs="Times New Roman"/>
          <w:sz w:val="23"/>
          <w:szCs w:val="23"/>
          <w:lang w:val="en-US"/>
        </w:rPr>
        <w:t>)</w:t>
      </w:r>
      <w:r w:rsidR="00EA3CC7" w:rsidRPr="00B50D74">
        <w:rPr>
          <w:rFonts w:ascii="Times New Roman" w:hAnsi="Times New Roman" w:cs="Times New Roman"/>
          <w:sz w:val="23"/>
          <w:szCs w:val="23"/>
          <w:lang w:val="en-US"/>
        </w:rPr>
        <w:t xml:space="preserve"> is applicable to a BV</w:t>
      </w:r>
      <w:r w:rsidRPr="00B50D74">
        <w:rPr>
          <w:rFonts w:ascii="Times New Roman" w:hAnsi="Times New Roman" w:cs="Times New Roman"/>
          <w:sz w:val="23"/>
          <w:szCs w:val="23"/>
          <w:lang w:val="en-US"/>
        </w:rPr>
        <w:t>, the supervisory board</w:t>
      </w:r>
      <w:r w:rsidR="00360DA6" w:rsidRPr="00B50D74">
        <w:rPr>
          <w:rFonts w:ascii="Times New Roman" w:hAnsi="Times New Roman" w:cs="Times New Roman"/>
          <w:sz w:val="23"/>
          <w:szCs w:val="23"/>
          <w:lang w:val="en-US"/>
        </w:rPr>
        <w:t xml:space="preserve"> of such BV</w:t>
      </w:r>
      <w:r w:rsidRPr="00B50D74">
        <w:rPr>
          <w:rFonts w:ascii="Times New Roman" w:hAnsi="Times New Roman" w:cs="Times New Roman"/>
          <w:sz w:val="23"/>
          <w:szCs w:val="23"/>
          <w:lang w:val="en-US"/>
        </w:rPr>
        <w:t xml:space="preserve"> will always have the exclusive right to appoint, suspend and dismiss the directors.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 xml:space="preserve">Furthermore, the by-laws and the shareholders’ agreement may stipulate that a resolution to remove or suspend a managing director requires a special quorum and/or qualified majority vote. However, pursuant to Dutch mandatory corporate law a statutory limitation is applicable on both the special quorum and the qualified majority vote in respect of such resolutions, being a maximum of two-thirds of the votes cast which represent a maximum of half of the issued share capital. </w:t>
      </w:r>
      <w:r w:rsidR="00FD2CCD" w:rsidRPr="00B50D74">
        <w:rPr>
          <w:rFonts w:ascii="Times New Roman" w:hAnsi="Times New Roman" w:cs="Times New Roman"/>
          <w:sz w:val="23"/>
          <w:szCs w:val="23"/>
          <w:lang w:val="en-US"/>
        </w:rPr>
        <w:t>A</w:t>
      </w:r>
      <w:r w:rsidRPr="00B50D74">
        <w:rPr>
          <w:rFonts w:ascii="Times New Roman" w:hAnsi="Times New Roman" w:cs="Times New Roman"/>
          <w:sz w:val="23"/>
          <w:szCs w:val="23"/>
          <w:lang w:val="en-US"/>
        </w:rPr>
        <w:t xml:space="preserve"> deviation of the aforementioned limitation in a shareholders’ agreement (for example by </w:t>
      </w:r>
      <w:r w:rsidR="00FD2CCD" w:rsidRPr="00B50D74">
        <w:rPr>
          <w:rFonts w:ascii="Times New Roman" w:hAnsi="Times New Roman" w:cs="Times New Roman"/>
          <w:sz w:val="23"/>
          <w:szCs w:val="23"/>
          <w:lang w:val="en-US"/>
        </w:rPr>
        <w:t>agreeing on higher voting thresholds</w:t>
      </w:r>
      <w:r w:rsidRPr="00B50D74">
        <w:rPr>
          <w:rFonts w:ascii="Times New Roman" w:hAnsi="Times New Roman" w:cs="Times New Roman"/>
          <w:sz w:val="23"/>
          <w:szCs w:val="23"/>
          <w:lang w:val="en-US"/>
        </w:rPr>
        <w:t xml:space="preserve">) is </w:t>
      </w:r>
      <w:r w:rsidR="00FD2CCD" w:rsidRPr="00B50D74">
        <w:rPr>
          <w:rFonts w:ascii="Times New Roman" w:hAnsi="Times New Roman" w:cs="Times New Roman"/>
          <w:sz w:val="23"/>
          <w:szCs w:val="23"/>
          <w:lang w:val="en-US"/>
        </w:rPr>
        <w:t xml:space="preserve">in principle </w:t>
      </w:r>
      <w:r w:rsidRPr="00B50D74">
        <w:rPr>
          <w:rFonts w:ascii="Times New Roman" w:hAnsi="Times New Roman" w:cs="Times New Roman"/>
          <w:sz w:val="23"/>
          <w:szCs w:val="23"/>
          <w:lang w:val="en-US"/>
        </w:rPr>
        <w:t>valid</w:t>
      </w:r>
      <w:r w:rsidR="00360DA6" w:rsidRPr="00B50D74">
        <w:rPr>
          <w:rFonts w:ascii="Times New Roman" w:hAnsi="Times New Roman" w:cs="Times New Roman"/>
          <w:sz w:val="23"/>
          <w:szCs w:val="23"/>
          <w:lang w:val="en-US"/>
        </w:rPr>
        <w:t>,</w:t>
      </w:r>
      <w:r w:rsidR="00FD2CCD" w:rsidRPr="00B50D74">
        <w:rPr>
          <w:rFonts w:ascii="Times New Roman" w:hAnsi="Times New Roman" w:cs="Times New Roman"/>
          <w:sz w:val="23"/>
          <w:szCs w:val="23"/>
          <w:lang w:val="en-US"/>
        </w:rPr>
        <w:t xml:space="preserve"> however pursuant to Dutch case law such </w:t>
      </w:r>
      <w:r w:rsidR="00360DA6" w:rsidRPr="00B50D74">
        <w:rPr>
          <w:rFonts w:ascii="Times New Roman" w:hAnsi="Times New Roman" w:cs="Times New Roman"/>
          <w:sz w:val="23"/>
          <w:szCs w:val="23"/>
          <w:lang w:val="en-US"/>
        </w:rPr>
        <w:t xml:space="preserve">arrangement </w:t>
      </w:r>
      <w:r w:rsidR="00FD2CCD" w:rsidRPr="00B50D74">
        <w:rPr>
          <w:rFonts w:ascii="Times New Roman" w:hAnsi="Times New Roman" w:cs="Times New Roman"/>
          <w:sz w:val="23"/>
          <w:szCs w:val="23"/>
          <w:lang w:val="en-US"/>
        </w:rPr>
        <w:t>may be held invalid in certain circumstances</w:t>
      </w:r>
      <w:r w:rsidRPr="00B50D74">
        <w:rPr>
          <w:rFonts w:ascii="Times New Roman" w:hAnsi="Times New Roman" w:cs="Times New Roman"/>
          <w:sz w:val="23"/>
          <w:szCs w:val="23"/>
          <w:lang w:val="en-US"/>
        </w:rPr>
        <w:t>.</w:t>
      </w:r>
      <w:r w:rsidR="00360DA6" w:rsidRPr="00B50D74">
        <w:rPr>
          <w:rFonts w:ascii="Times New Roman" w:hAnsi="Times New Roman" w:cs="Times New Roman"/>
          <w:sz w:val="23"/>
          <w:szCs w:val="23"/>
          <w:lang w:val="en-US"/>
        </w:rPr>
        <w:t xml:space="preserve"> Further, it is not yet clear whether a resolution taken by the general meeting which does not meet the quorum included in the shareholders’ agreement</w:t>
      </w:r>
      <w:r w:rsidR="00275365" w:rsidRPr="00B50D74">
        <w:rPr>
          <w:rFonts w:ascii="Times New Roman" w:hAnsi="Times New Roman" w:cs="Times New Roman"/>
          <w:sz w:val="23"/>
          <w:szCs w:val="23"/>
          <w:lang w:val="en-US"/>
        </w:rPr>
        <w:t xml:space="preserve"> is null and void or is valid but constitutes a breach of contract only.</w:t>
      </w:r>
      <w:r w:rsidR="00360DA6" w:rsidRPr="00B50D74">
        <w:rPr>
          <w:rFonts w:ascii="Times New Roman" w:hAnsi="Times New Roman" w:cs="Times New Roman"/>
          <w:sz w:val="23"/>
          <w:szCs w:val="23"/>
          <w:lang w:val="en-US"/>
        </w:rPr>
        <w:t xml:space="preserve"> </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Control:</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Under Dutch law, the shareholders’ agreement and by-laws in respect of a BV may stipulate that:</w:t>
      </w:r>
    </w:p>
    <w:p w:rsidR="0078404C" w:rsidRPr="00B50D74" w:rsidRDefault="0078404C" w:rsidP="00325218">
      <w:pPr>
        <w:pStyle w:val="ListParagraph"/>
        <w:numPr>
          <w:ilvl w:val="0"/>
          <w:numId w:val="4"/>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certain resolutions of the board of directors require a special quorum and/or qualified majority vote;</w:t>
      </w:r>
    </w:p>
    <w:p w:rsidR="0078404C" w:rsidRPr="00B50D74" w:rsidRDefault="0078404C" w:rsidP="00325218">
      <w:pPr>
        <w:pStyle w:val="ListParagraph"/>
        <w:numPr>
          <w:ilvl w:val="0"/>
          <w:numId w:val="4"/>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certain resolutions of the board of directors require the prior approval of the shareholders’ meeting</w:t>
      </w:r>
      <w:r w:rsidR="00FD2CCD" w:rsidRPr="00B50D74">
        <w:rPr>
          <w:rFonts w:ascii="Times New Roman" w:hAnsi="Times New Roman" w:cs="Times New Roman"/>
          <w:sz w:val="23"/>
          <w:szCs w:val="23"/>
          <w:lang w:val="en-US"/>
        </w:rPr>
        <w:t>;</w:t>
      </w:r>
    </w:p>
    <w:p w:rsidR="0078404C" w:rsidRPr="00B50D74" w:rsidRDefault="0078404C" w:rsidP="00325218">
      <w:pPr>
        <w:pStyle w:val="ListParagraph"/>
        <w:numPr>
          <w:ilvl w:val="0"/>
          <w:numId w:val="4"/>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certain resolutions of the board of directors require the prior approval of a supervisory board; and</w:t>
      </w:r>
    </w:p>
    <w:p w:rsidR="0078404C" w:rsidRPr="00B50D74" w:rsidRDefault="0078404C" w:rsidP="00325218">
      <w:pPr>
        <w:pStyle w:val="ListParagraph"/>
        <w:numPr>
          <w:ilvl w:val="0"/>
          <w:numId w:val="4"/>
        </w:num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lastRenderedPageBreak/>
        <w:t>certain resolutions of the shareholders’ meeting require a special quorum and/or qualified majority vote, provided that Dutch law provides for a statutory limitations on the special quorum and the qualified majority vote in respect of the removal or suspension of a managing director (see above).</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In practice (especially if non Dutch shareholders are involved), regularly voting agreements are included in shareholders’ agreements to circumvent the aforementioned statutory limitation. However, legal commentators have contrary opinions in respect of the question whether voting agreements that violate the by-laws and/or Dutch mandatory law are valid. By the inclusion of such requirements in the shareholders’ agreement and the by-laws, it is possible to create minority shareholders protection.</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Is it possible in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 to ensure minority shareholder control by means of a shareholders’ agreement?</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Subject to the Dutch statutory limitation as referred to above and the fact that shareholders’ agreements are (in principle) only binding on the parties thereto, it is possible to ensure minority shareholder control under Dutch law by means of a shareholders’ agreement governing a BV.</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Furthermore, provisions ensuring minority control may be included in the by-laws.</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What are the usual valuation mechanisms in connection with rights of first refusal or share transfer regulations?</w:t>
      </w:r>
    </w:p>
    <w:p w:rsidR="0078404C" w:rsidRPr="00B50D74" w:rsidRDefault="0078404C" w:rsidP="00325218">
      <w:pPr>
        <w:jc w:val="both"/>
        <w:rPr>
          <w:rFonts w:ascii="Times New Roman" w:hAnsi="Times New Roman" w:cs="Times New Roman"/>
          <w:sz w:val="23"/>
          <w:szCs w:val="23"/>
          <w:lang w:val="en-US"/>
        </w:rPr>
      </w:pPr>
      <w:r w:rsidRPr="00074906">
        <w:rPr>
          <w:rFonts w:ascii="Times New Roman" w:hAnsi="Times New Roman" w:cs="Times New Roman"/>
          <w:sz w:val="23"/>
          <w:szCs w:val="23"/>
          <w:lang w:val="en-US"/>
        </w:rPr>
        <w:t xml:space="preserve">If in the by-laws of </w:t>
      </w:r>
      <w:r w:rsidR="00074906" w:rsidRPr="00074906">
        <w:rPr>
          <w:rFonts w:ascii="Times New Roman" w:hAnsi="Times New Roman" w:cs="Times New Roman"/>
          <w:sz w:val="23"/>
          <w:szCs w:val="23"/>
          <w:lang w:val="en-US"/>
        </w:rPr>
        <w:t xml:space="preserve">the BV, </w:t>
      </w:r>
      <w:r w:rsidRPr="00074906">
        <w:rPr>
          <w:rFonts w:ascii="Times New Roman" w:hAnsi="Times New Roman" w:cs="Times New Roman"/>
          <w:sz w:val="23"/>
          <w:szCs w:val="23"/>
          <w:lang w:val="en-US"/>
        </w:rPr>
        <w:t>a right</w:t>
      </w:r>
      <w:r w:rsidR="00D732BD" w:rsidRPr="00074906">
        <w:rPr>
          <w:rFonts w:ascii="Times New Roman" w:hAnsi="Times New Roman" w:cs="Times New Roman"/>
          <w:sz w:val="23"/>
          <w:szCs w:val="23"/>
          <w:lang w:val="en-US"/>
        </w:rPr>
        <w:t xml:space="preserve"> of first refusal </w:t>
      </w:r>
      <w:r w:rsidR="00074906" w:rsidRPr="00074906">
        <w:rPr>
          <w:rFonts w:ascii="Times New Roman" w:hAnsi="Times New Roman" w:cs="Times New Roman"/>
          <w:sz w:val="23"/>
          <w:szCs w:val="23"/>
          <w:lang w:val="en-US"/>
        </w:rPr>
        <w:t xml:space="preserve">mechanism is included </w:t>
      </w:r>
      <w:r w:rsidR="00D732BD" w:rsidRPr="00074906">
        <w:rPr>
          <w:rFonts w:ascii="Times New Roman" w:hAnsi="Times New Roman" w:cs="Times New Roman"/>
          <w:sz w:val="23"/>
          <w:szCs w:val="23"/>
          <w:lang w:val="en-US"/>
        </w:rPr>
        <w:t>(see answer to</w:t>
      </w:r>
      <w:r w:rsidRPr="00074906">
        <w:rPr>
          <w:rFonts w:ascii="Times New Roman" w:hAnsi="Times New Roman" w:cs="Times New Roman"/>
          <w:sz w:val="23"/>
          <w:szCs w:val="23"/>
          <w:lang w:val="en-US"/>
        </w:rPr>
        <w:t xml:space="preserve"> question 7 above), such right of first refusal must be drafted in such a way that the price to be received by the selling shareholder shall be equal to the market value of such shares as determined by one or more independent experts if requested by the selling shareholder.</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In the Dutch practice, shareholders’ agreements often deviate from the price determination set out in the by-laws, usually by agreeing that the price of the shares that are subject to the right of first refusal shall be equal to the price offered to the selling shareholder by the relevant third party.</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Is it admissible for a shareholders’ agreement clause to refer dispute resolution to the courts other than those of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 xml:space="preserve">Netherlands and/or under a law other than that of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t xml:space="preserve">Yes, it is admissible. However, it is </w:t>
      </w:r>
      <w:r w:rsidR="00074906">
        <w:rPr>
          <w:rFonts w:ascii="Times New Roman" w:hAnsi="Times New Roman" w:cs="Times New Roman"/>
          <w:sz w:val="23"/>
          <w:szCs w:val="23"/>
          <w:lang w:val="en-US"/>
        </w:rPr>
        <w:t>advisable,</w:t>
      </w:r>
      <w:r w:rsidRPr="00B50D74">
        <w:rPr>
          <w:rFonts w:ascii="Times New Roman" w:hAnsi="Times New Roman" w:cs="Times New Roman"/>
          <w:sz w:val="23"/>
          <w:szCs w:val="23"/>
          <w:lang w:val="en-US"/>
        </w:rPr>
        <w:t xml:space="preserve"> </w:t>
      </w:r>
      <w:r w:rsidR="00074906">
        <w:rPr>
          <w:rFonts w:ascii="Times New Roman" w:hAnsi="Times New Roman" w:cs="Times New Roman"/>
          <w:sz w:val="23"/>
          <w:szCs w:val="23"/>
          <w:lang w:val="en-US"/>
        </w:rPr>
        <w:t>(amongst other reasons)</w:t>
      </w:r>
      <w:r w:rsidRPr="00B50D74">
        <w:rPr>
          <w:rFonts w:ascii="Times New Roman" w:hAnsi="Times New Roman" w:cs="Times New Roman"/>
          <w:sz w:val="23"/>
          <w:szCs w:val="23"/>
          <w:lang w:val="en-US"/>
        </w:rPr>
        <w:t xml:space="preserve"> given the relationship between (i) the shareholders’ agreement and the by-laws and (ii) the shareholders’ agreement and the by-laws on the one hand and Dutch mandatory corporate law on the other hand, to agree on Dutch law and to refer dispute resolution to a Dutch court.</w:t>
      </w:r>
    </w:p>
    <w:p w:rsidR="0078404C" w:rsidRPr="00CC6828" w:rsidRDefault="0078404C" w:rsidP="00CC6828">
      <w:pPr>
        <w:pStyle w:val="ListParagraph"/>
        <w:numPr>
          <w:ilvl w:val="0"/>
          <w:numId w:val="14"/>
        </w:numPr>
        <w:jc w:val="both"/>
        <w:rPr>
          <w:rFonts w:ascii="Times New Roman" w:hAnsi="Times New Roman" w:cs="Times New Roman"/>
          <w:b/>
          <w:sz w:val="23"/>
          <w:szCs w:val="23"/>
          <w:lang w:val="en-US"/>
        </w:rPr>
      </w:pPr>
      <w:r w:rsidRPr="00CC6828">
        <w:rPr>
          <w:rFonts w:ascii="Times New Roman" w:hAnsi="Times New Roman" w:cs="Times New Roman"/>
          <w:b/>
          <w:sz w:val="23"/>
          <w:szCs w:val="23"/>
          <w:lang w:val="en-US"/>
        </w:rPr>
        <w:t xml:space="preserve">Is it admissible for a shareholders’ agreement to include an arbitration clause with seat outside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 xml:space="preserve">Netherlands and/or under a law other than that of </w:t>
      </w:r>
      <w:r w:rsidR="00E47ED1" w:rsidRPr="00CC6828">
        <w:rPr>
          <w:rFonts w:ascii="Times New Roman" w:hAnsi="Times New Roman" w:cs="Times New Roman"/>
          <w:b/>
          <w:sz w:val="23"/>
          <w:szCs w:val="23"/>
          <w:lang w:val="en-US"/>
        </w:rPr>
        <w:t xml:space="preserve">The </w:t>
      </w:r>
      <w:r w:rsidRPr="00CC6828">
        <w:rPr>
          <w:rFonts w:ascii="Times New Roman" w:hAnsi="Times New Roman" w:cs="Times New Roman"/>
          <w:b/>
          <w:sz w:val="23"/>
          <w:szCs w:val="23"/>
          <w:lang w:val="en-US"/>
        </w:rPr>
        <w:t>Netherlands?</w:t>
      </w:r>
    </w:p>
    <w:p w:rsidR="0078404C" w:rsidRPr="00B50D74" w:rsidRDefault="0078404C" w:rsidP="00325218">
      <w:pPr>
        <w:jc w:val="both"/>
        <w:rPr>
          <w:rFonts w:ascii="Times New Roman" w:hAnsi="Times New Roman" w:cs="Times New Roman"/>
          <w:sz w:val="23"/>
          <w:szCs w:val="23"/>
          <w:lang w:val="en-US"/>
        </w:rPr>
      </w:pPr>
      <w:r w:rsidRPr="00B50D74">
        <w:rPr>
          <w:rFonts w:ascii="Times New Roman" w:hAnsi="Times New Roman" w:cs="Times New Roman"/>
          <w:sz w:val="23"/>
          <w:szCs w:val="23"/>
          <w:lang w:val="en-US"/>
        </w:rPr>
        <w:lastRenderedPageBreak/>
        <w:t xml:space="preserve">Yes, it is admissible. However, as set out above under </w:t>
      </w:r>
      <w:r w:rsidR="00074906">
        <w:rPr>
          <w:rFonts w:ascii="Times New Roman" w:hAnsi="Times New Roman" w:cs="Times New Roman"/>
          <w:sz w:val="23"/>
          <w:szCs w:val="23"/>
          <w:lang w:val="en-US"/>
        </w:rPr>
        <w:t>section</w:t>
      </w:r>
      <w:r w:rsidRPr="00B50D74">
        <w:rPr>
          <w:rFonts w:ascii="Times New Roman" w:hAnsi="Times New Roman" w:cs="Times New Roman"/>
          <w:sz w:val="23"/>
          <w:szCs w:val="23"/>
          <w:lang w:val="en-US"/>
        </w:rPr>
        <w:t xml:space="preserve"> 17 (in respect of the choice of law) it is recommendable to opt for Dutch law. If parties agree on a board of arbitration with a seat outside the Netherlands, it is recommended to agree that one of the arbiters to be appointed must be a Dutch corporate law specialist.</w:t>
      </w:r>
    </w:p>
    <w:p w:rsidR="0070214A" w:rsidRPr="00B50D74" w:rsidRDefault="0070214A" w:rsidP="00325218">
      <w:pPr>
        <w:jc w:val="both"/>
        <w:rPr>
          <w:rFonts w:ascii="Times New Roman" w:hAnsi="Times New Roman" w:cs="Times New Roman"/>
          <w:sz w:val="23"/>
          <w:szCs w:val="23"/>
          <w:lang w:val="en-US"/>
        </w:rPr>
      </w:pPr>
    </w:p>
    <w:p w:rsidR="0078404C" w:rsidRPr="00074906" w:rsidRDefault="0078404C" w:rsidP="00325218">
      <w:pPr>
        <w:jc w:val="both"/>
        <w:rPr>
          <w:rFonts w:ascii="Times New Roman" w:hAnsi="Times New Roman" w:cs="Times New Roman"/>
          <w:i/>
          <w:sz w:val="23"/>
          <w:szCs w:val="23"/>
          <w:lang w:val="en-US"/>
        </w:rPr>
      </w:pPr>
      <w:r w:rsidRPr="00074906">
        <w:rPr>
          <w:rFonts w:ascii="Times New Roman" w:hAnsi="Times New Roman" w:cs="Times New Roman"/>
          <w:i/>
          <w:sz w:val="23"/>
          <w:szCs w:val="23"/>
          <w:lang w:val="en-US"/>
        </w:rPr>
        <w:t>Important notice:</w:t>
      </w:r>
    </w:p>
    <w:p w:rsidR="00D732BD" w:rsidRPr="00074906" w:rsidRDefault="0078404C" w:rsidP="00325218">
      <w:pPr>
        <w:jc w:val="both"/>
        <w:rPr>
          <w:rFonts w:ascii="Times New Roman" w:hAnsi="Times New Roman" w:cs="Times New Roman"/>
          <w:i/>
          <w:sz w:val="23"/>
          <w:szCs w:val="23"/>
          <w:lang w:val="en-US"/>
        </w:rPr>
      </w:pPr>
      <w:r w:rsidRPr="00074906">
        <w:rPr>
          <w:rFonts w:ascii="Times New Roman" w:hAnsi="Times New Roman" w:cs="Times New Roman"/>
          <w:i/>
          <w:sz w:val="23"/>
          <w:szCs w:val="23"/>
          <w:lang w:val="en-US"/>
        </w:rPr>
        <w:t>The content of this article is intended to provide a general guide to the subject matters and must not be regarded as a legal advice. Specialist advice should be sought about your specific circumstances.</w:t>
      </w:r>
    </w:p>
    <w:p w:rsidR="00EF19E6" w:rsidRPr="00B50D74" w:rsidRDefault="00EF19E6" w:rsidP="00325218">
      <w:pPr>
        <w:jc w:val="both"/>
        <w:rPr>
          <w:rFonts w:ascii="Times New Roman" w:hAnsi="Times New Roman" w:cs="Times New Roman"/>
          <w:sz w:val="23"/>
          <w:szCs w:val="23"/>
          <w:lang w:val="en-US"/>
        </w:rPr>
      </w:pPr>
    </w:p>
    <w:p w:rsidR="00EF19E6" w:rsidRPr="00B50D74" w:rsidRDefault="00EF19E6" w:rsidP="00325218">
      <w:pPr>
        <w:jc w:val="both"/>
        <w:rPr>
          <w:rFonts w:ascii="Times New Roman" w:hAnsi="Times New Roman" w:cs="Times New Roman"/>
          <w:sz w:val="23"/>
          <w:szCs w:val="23"/>
          <w:lang w:val="en-US"/>
        </w:rPr>
      </w:pPr>
    </w:p>
    <w:sectPr w:rsidR="00EF19E6" w:rsidRPr="00B50D74">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1F39" w:rsidRDefault="00811F39" w:rsidP="003966E3">
      <w:pPr>
        <w:spacing w:after="0" w:line="240" w:lineRule="auto"/>
      </w:pPr>
      <w:r>
        <w:separator/>
      </w:r>
    </w:p>
  </w:endnote>
  <w:endnote w:type="continuationSeparator" w:id="0">
    <w:p w:rsidR="00811F39" w:rsidRDefault="00811F39" w:rsidP="003966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2923007"/>
      <w:docPartObj>
        <w:docPartGallery w:val="Page Numbers (Bottom of Page)"/>
        <w:docPartUnique/>
      </w:docPartObj>
    </w:sdtPr>
    <w:sdtEndPr>
      <w:rPr>
        <w:rFonts w:ascii="Times New Roman" w:hAnsi="Times New Roman" w:cs="Times New Roman"/>
        <w:b/>
        <w:sz w:val="20"/>
        <w:szCs w:val="20"/>
      </w:rPr>
    </w:sdtEndPr>
    <w:sdtContent>
      <w:p w:rsidR="003966E3" w:rsidRPr="003966E3" w:rsidRDefault="003966E3">
        <w:pPr>
          <w:pStyle w:val="Footer"/>
          <w:jc w:val="center"/>
          <w:rPr>
            <w:rFonts w:ascii="Times New Roman" w:hAnsi="Times New Roman" w:cs="Times New Roman"/>
            <w:b/>
            <w:sz w:val="20"/>
            <w:szCs w:val="20"/>
          </w:rPr>
        </w:pPr>
        <w:r w:rsidRPr="003966E3">
          <w:rPr>
            <w:rFonts w:ascii="Times New Roman" w:hAnsi="Times New Roman" w:cs="Times New Roman"/>
            <w:b/>
            <w:sz w:val="20"/>
            <w:szCs w:val="20"/>
          </w:rPr>
          <w:t xml:space="preserve">Page </w:t>
        </w:r>
        <w:r w:rsidRPr="003966E3">
          <w:rPr>
            <w:rFonts w:ascii="Times New Roman" w:hAnsi="Times New Roman" w:cs="Times New Roman"/>
            <w:b/>
            <w:sz w:val="20"/>
            <w:szCs w:val="20"/>
          </w:rPr>
          <w:fldChar w:fldCharType="begin"/>
        </w:r>
        <w:r w:rsidRPr="003966E3">
          <w:rPr>
            <w:rFonts w:ascii="Times New Roman" w:hAnsi="Times New Roman" w:cs="Times New Roman"/>
            <w:b/>
            <w:sz w:val="20"/>
            <w:szCs w:val="20"/>
          </w:rPr>
          <w:instrText>PAGE   \* MERGEFORMAT</w:instrText>
        </w:r>
        <w:r w:rsidRPr="003966E3">
          <w:rPr>
            <w:rFonts w:ascii="Times New Roman" w:hAnsi="Times New Roman" w:cs="Times New Roman"/>
            <w:b/>
            <w:sz w:val="20"/>
            <w:szCs w:val="20"/>
          </w:rPr>
          <w:fldChar w:fldCharType="separate"/>
        </w:r>
        <w:r w:rsidR="009932FE">
          <w:rPr>
            <w:rFonts w:ascii="Times New Roman" w:hAnsi="Times New Roman" w:cs="Times New Roman"/>
            <w:b/>
            <w:noProof/>
            <w:sz w:val="20"/>
            <w:szCs w:val="20"/>
          </w:rPr>
          <w:t>1</w:t>
        </w:r>
        <w:r w:rsidRPr="003966E3">
          <w:rPr>
            <w:rFonts w:ascii="Times New Roman" w:hAnsi="Times New Roman" w:cs="Times New Roman"/>
            <w:b/>
            <w:sz w:val="20"/>
            <w:szCs w:val="20"/>
          </w:rPr>
          <w:fldChar w:fldCharType="end"/>
        </w:r>
      </w:p>
    </w:sdtContent>
  </w:sdt>
  <w:p w:rsidR="003966E3" w:rsidRDefault="003966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1F39" w:rsidRDefault="00811F39" w:rsidP="003966E3">
      <w:pPr>
        <w:spacing w:after="0" w:line="240" w:lineRule="auto"/>
      </w:pPr>
      <w:r>
        <w:separator/>
      </w:r>
    </w:p>
  </w:footnote>
  <w:footnote w:type="continuationSeparator" w:id="0">
    <w:p w:rsidR="00811F39" w:rsidRDefault="00811F39" w:rsidP="003966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868A2"/>
    <w:multiLevelType w:val="hybridMultilevel"/>
    <w:tmpl w:val="FB9AD880"/>
    <w:lvl w:ilvl="0" w:tplc="C50AC17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74813C4"/>
    <w:multiLevelType w:val="hybridMultilevel"/>
    <w:tmpl w:val="DCF8A4F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E6D1FD5"/>
    <w:multiLevelType w:val="hybridMultilevel"/>
    <w:tmpl w:val="D8A028D8"/>
    <w:lvl w:ilvl="0" w:tplc="04130001">
      <w:start w:val="1"/>
      <w:numFmt w:val="bullet"/>
      <w:lvlText w:val=""/>
      <w:lvlJc w:val="left"/>
      <w:pPr>
        <w:ind w:left="720" w:hanging="360"/>
      </w:pPr>
      <w:rPr>
        <w:rFonts w:ascii="Symbol" w:hAnsi="Symbol"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87D255C"/>
    <w:multiLevelType w:val="hybridMultilevel"/>
    <w:tmpl w:val="FF62ECB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AF14EFD"/>
    <w:multiLevelType w:val="hybridMultilevel"/>
    <w:tmpl w:val="2E96A9E0"/>
    <w:lvl w:ilvl="0" w:tplc="056C7BAC">
      <w:start w:val="1"/>
      <w:numFmt w:val="decimal"/>
      <w:lvlText w:val="0.%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B5D0391"/>
    <w:multiLevelType w:val="hybridMultilevel"/>
    <w:tmpl w:val="1EB0A23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1C253F5"/>
    <w:multiLevelType w:val="hybridMultilevel"/>
    <w:tmpl w:val="A774956C"/>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37FB60C2"/>
    <w:multiLevelType w:val="hybridMultilevel"/>
    <w:tmpl w:val="C30421F0"/>
    <w:lvl w:ilvl="0" w:tplc="C50AC17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3E894E0C"/>
    <w:multiLevelType w:val="hybridMultilevel"/>
    <w:tmpl w:val="B27E050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89534B0"/>
    <w:multiLevelType w:val="hybridMultilevel"/>
    <w:tmpl w:val="ED4640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6B8052AB"/>
    <w:multiLevelType w:val="hybridMultilevel"/>
    <w:tmpl w:val="DC322D72"/>
    <w:lvl w:ilvl="0" w:tplc="C50AC17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6C77696A"/>
    <w:multiLevelType w:val="hybridMultilevel"/>
    <w:tmpl w:val="CE4E0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71DB32E2"/>
    <w:multiLevelType w:val="hybridMultilevel"/>
    <w:tmpl w:val="0EA65600"/>
    <w:lvl w:ilvl="0" w:tplc="C50AC17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746D4439"/>
    <w:multiLevelType w:val="hybridMultilevel"/>
    <w:tmpl w:val="0C66F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8"/>
  </w:num>
  <w:num w:numId="2">
    <w:abstractNumId w:val="12"/>
  </w:num>
  <w:num w:numId="3">
    <w:abstractNumId w:val="4"/>
  </w:num>
  <w:num w:numId="4">
    <w:abstractNumId w:val="2"/>
  </w:num>
  <w:num w:numId="5">
    <w:abstractNumId w:val="1"/>
  </w:num>
  <w:num w:numId="6">
    <w:abstractNumId w:val="7"/>
  </w:num>
  <w:num w:numId="7">
    <w:abstractNumId w:val="5"/>
  </w:num>
  <w:num w:numId="8">
    <w:abstractNumId w:val="9"/>
  </w:num>
  <w:num w:numId="9">
    <w:abstractNumId w:val="0"/>
  </w:num>
  <w:num w:numId="10">
    <w:abstractNumId w:val="3"/>
  </w:num>
  <w:num w:numId="11">
    <w:abstractNumId w:val="10"/>
  </w:num>
  <w:num w:numId="12">
    <w:abstractNumId w:val="11"/>
  </w:num>
  <w:num w:numId="13">
    <w:abstractNumId w:val="13"/>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
  <w:revisionView w:inkAnnotations="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925"/>
    <w:rsid w:val="00074906"/>
    <w:rsid w:val="00083EC8"/>
    <w:rsid w:val="00110BC4"/>
    <w:rsid w:val="0011159F"/>
    <w:rsid w:val="00111B0F"/>
    <w:rsid w:val="001A5C7D"/>
    <w:rsid w:val="001A6508"/>
    <w:rsid w:val="00275365"/>
    <w:rsid w:val="00281925"/>
    <w:rsid w:val="00286DAC"/>
    <w:rsid w:val="002A4DD2"/>
    <w:rsid w:val="002B1110"/>
    <w:rsid w:val="002F5C1E"/>
    <w:rsid w:val="00325218"/>
    <w:rsid w:val="00360DA6"/>
    <w:rsid w:val="003966E3"/>
    <w:rsid w:val="00411049"/>
    <w:rsid w:val="0042460A"/>
    <w:rsid w:val="0047457E"/>
    <w:rsid w:val="004F4062"/>
    <w:rsid w:val="0054411D"/>
    <w:rsid w:val="005C63B7"/>
    <w:rsid w:val="00620881"/>
    <w:rsid w:val="00671E0F"/>
    <w:rsid w:val="00683B33"/>
    <w:rsid w:val="0070214A"/>
    <w:rsid w:val="007371F1"/>
    <w:rsid w:val="007656B7"/>
    <w:rsid w:val="0078404C"/>
    <w:rsid w:val="007E566F"/>
    <w:rsid w:val="008008D3"/>
    <w:rsid w:val="00811F39"/>
    <w:rsid w:val="008863D3"/>
    <w:rsid w:val="008A0D8E"/>
    <w:rsid w:val="00956F5F"/>
    <w:rsid w:val="009932FE"/>
    <w:rsid w:val="009D67C7"/>
    <w:rsid w:val="00A6387E"/>
    <w:rsid w:val="00AA4CCF"/>
    <w:rsid w:val="00B359DE"/>
    <w:rsid w:val="00B50D74"/>
    <w:rsid w:val="00CC6828"/>
    <w:rsid w:val="00D02994"/>
    <w:rsid w:val="00D227BA"/>
    <w:rsid w:val="00D41A81"/>
    <w:rsid w:val="00D732BD"/>
    <w:rsid w:val="00D910DF"/>
    <w:rsid w:val="00E41077"/>
    <w:rsid w:val="00E47ED1"/>
    <w:rsid w:val="00E55700"/>
    <w:rsid w:val="00EA3CC7"/>
    <w:rsid w:val="00EF19E6"/>
    <w:rsid w:val="00EF6EE3"/>
    <w:rsid w:val="00F1528A"/>
    <w:rsid w:val="00F70972"/>
    <w:rsid w:val="00FD2CCD"/>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961C2D46-74C9-4828-939F-B21F0F486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404C"/>
    <w:pPr>
      <w:ind w:left="720"/>
      <w:contextualSpacing/>
    </w:pPr>
  </w:style>
  <w:style w:type="paragraph" w:styleId="BalloonText">
    <w:name w:val="Balloon Text"/>
    <w:basedOn w:val="Normal"/>
    <w:link w:val="BalloonTextChar"/>
    <w:uiPriority w:val="99"/>
    <w:semiHidden/>
    <w:unhideWhenUsed/>
    <w:rsid w:val="00D227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27BA"/>
    <w:rPr>
      <w:rFonts w:ascii="Tahoma" w:hAnsi="Tahoma" w:cs="Tahoma"/>
      <w:sz w:val="16"/>
      <w:szCs w:val="16"/>
    </w:rPr>
  </w:style>
  <w:style w:type="paragraph" w:customStyle="1" w:styleId="Default">
    <w:name w:val="Default"/>
    <w:rsid w:val="00D732BD"/>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3966E3"/>
    <w:pPr>
      <w:tabs>
        <w:tab w:val="center" w:pos="4252"/>
        <w:tab w:val="right" w:pos="8504"/>
      </w:tabs>
      <w:spacing w:after="0" w:line="240" w:lineRule="auto"/>
    </w:pPr>
  </w:style>
  <w:style w:type="character" w:customStyle="1" w:styleId="HeaderChar">
    <w:name w:val="Header Char"/>
    <w:basedOn w:val="DefaultParagraphFont"/>
    <w:link w:val="Header"/>
    <w:uiPriority w:val="99"/>
    <w:rsid w:val="003966E3"/>
  </w:style>
  <w:style w:type="paragraph" w:styleId="Footer">
    <w:name w:val="footer"/>
    <w:basedOn w:val="Normal"/>
    <w:link w:val="FooterChar"/>
    <w:uiPriority w:val="99"/>
    <w:unhideWhenUsed/>
    <w:rsid w:val="003966E3"/>
    <w:pPr>
      <w:tabs>
        <w:tab w:val="center" w:pos="4252"/>
        <w:tab w:val="right" w:pos="8504"/>
      </w:tabs>
      <w:spacing w:after="0" w:line="240" w:lineRule="auto"/>
    </w:pPr>
  </w:style>
  <w:style w:type="character" w:customStyle="1" w:styleId="FooterChar">
    <w:name w:val="Footer Char"/>
    <w:basedOn w:val="DefaultParagraphFont"/>
    <w:link w:val="Footer"/>
    <w:uiPriority w:val="99"/>
    <w:rsid w:val="003966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2053AB-717E-4930-9108-9CD071899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2405</Words>
  <Characters>13714</Characters>
  <Application>Microsoft Office Word</Application>
  <DocSecurity>0</DocSecurity>
  <Lines>114</Lines>
  <Paragraphs>32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Perez-Llorca</Company>
  <LinksUpToDate>false</LinksUpToDate>
  <CharactersWithSpaces>16087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Eloi Núñez-Romero</dc:creator>
  <cp:lastModifiedBy>MERW</cp:lastModifiedBy>
  <cp:revision>2</cp:revision>
  <dcterms:created xsi:type="dcterms:W3CDTF">2018-12-03T03:52:00Z</dcterms:created>
  <dcterms:modified xsi:type="dcterms:W3CDTF">2018-12-03T03:52:00Z</dcterms:modified>
</cp:coreProperties>
</file>