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8EAE1C" w14:textId="77777777" w:rsidR="00281925" w:rsidRPr="00EF4488" w:rsidRDefault="00281925" w:rsidP="00281925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F4488">
        <w:rPr>
          <w:rFonts w:ascii="Times New Roman" w:hAnsi="Times New Roman" w:cs="Times New Roman"/>
          <w:b/>
          <w:sz w:val="28"/>
          <w:szCs w:val="28"/>
          <w:lang w:val="en-US"/>
        </w:rPr>
        <w:t>IBA Guide on Shareholders’ Agreements</w:t>
      </w:r>
    </w:p>
    <w:p w14:paraId="71BA6287" w14:textId="2811B0DE" w:rsidR="00281925" w:rsidRPr="00F95CC7" w:rsidRDefault="00EF4488" w:rsidP="00F95CC7">
      <w:pPr>
        <w:jc w:val="center"/>
        <w:rPr>
          <w:rFonts w:ascii="Times New Roman" w:hAnsi="Times New Roman" w:cs="Times New Roman"/>
          <w:b/>
          <w:sz w:val="23"/>
          <w:szCs w:val="23"/>
          <w:lang w:val="nl-NL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nl-NL"/>
        </w:rPr>
        <w:t>Uganda</w:t>
      </w:r>
    </w:p>
    <w:p w14:paraId="1662C6B6" w14:textId="0C4D1969" w:rsidR="00281925" w:rsidRPr="00F95CC7" w:rsidRDefault="00EF4488" w:rsidP="00F95CC7">
      <w:pPr>
        <w:jc w:val="center"/>
        <w:rPr>
          <w:rFonts w:ascii="Times New Roman" w:hAnsi="Times New Roman" w:cs="Times New Roman"/>
          <w:b/>
          <w:sz w:val="23"/>
          <w:szCs w:val="23"/>
          <w:lang w:val="nl-NL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nl-NL"/>
        </w:rPr>
        <w:t>Brian Kalule</w:t>
      </w:r>
    </w:p>
    <w:p w14:paraId="666DFCB8" w14:textId="16C178DD" w:rsidR="00281925" w:rsidRPr="00F95CC7" w:rsidRDefault="00EF4488" w:rsidP="00F95CC7">
      <w:pPr>
        <w:jc w:val="center"/>
        <w:rPr>
          <w:rFonts w:ascii="Times New Roman" w:hAnsi="Times New Roman" w:cs="Times New Roman"/>
          <w:b/>
          <w:sz w:val="23"/>
          <w:szCs w:val="23"/>
          <w:lang w:val="nl-NL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nl-NL"/>
        </w:rPr>
        <w:t xml:space="preserve">Bowmans Uganda </w:t>
      </w:r>
    </w:p>
    <w:p w14:paraId="0BC24C61" w14:textId="77777777" w:rsidR="006D160B" w:rsidRPr="00EF4488" w:rsidRDefault="006D160B" w:rsidP="006D160B">
      <w:pPr>
        <w:spacing w:after="0"/>
        <w:jc w:val="center"/>
        <w:rPr>
          <w:rFonts w:ascii="Times New Roman" w:hAnsi="Times New Roman" w:cs="Times New Roman"/>
          <w:b/>
          <w:sz w:val="23"/>
          <w:szCs w:val="23"/>
          <w:lang w:val="en-US"/>
        </w:rPr>
      </w:pPr>
    </w:p>
    <w:p w14:paraId="24851F6C" w14:textId="15717AEE" w:rsidR="00281925" w:rsidRPr="00F95CC7" w:rsidRDefault="00EF4488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 </w:t>
      </w:r>
      <w:r w:rsidR="00281925"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Are shareholders’ agreements frequent in 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Uganda</w:t>
      </w:r>
      <w:r w:rsidR="00281925" w:rsidRPr="00F95CC7">
        <w:rPr>
          <w:rFonts w:ascii="Times New Roman" w:hAnsi="Times New Roman" w:cs="Times New Roman"/>
          <w:b/>
          <w:sz w:val="23"/>
          <w:szCs w:val="23"/>
          <w:lang w:val="en-US"/>
        </w:rPr>
        <w:t>?</w:t>
      </w:r>
    </w:p>
    <w:p w14:paraId="22134063" w14:textId="57BDC1EA" w:rsidR="00965027" w:rsidRPr="00EF4488" w:rsidRDefault="00965027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Yes, </w:t>
      </w:r>
      <w:r w:rsidR="00C673C1" w:rsidRPr="00EF4488">
        <w:rPr>
          <w:rFonts w:ascii="Times New Roman" w:hAnsi="Times New Roman" w:cs="Times New Roman"/>
          <w:sz w:val="23"/>
          <w:szCs w:val="23"/>
          <w:lang w:val="en-US"/>
        </w:rPr>
        <w:t>shareholders’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agreements are frequent</w:t>
      </w:r>
      <w:r w:rsidR="009F4BFF" w:rsidRP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5799DABF" w14:textId="555C9322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What formalities must shareholders’ agreements comply with in </w:t>
      </w:r>
      <w:r w:rsidR="00EF4488" w:rsidRPr="00F95CC7">
        <w:rPr>
          <w:rFonts w:ascii="Times New Roman" w:hAnsi="Times New Roman" w:cs="Times New Roman"/>
          <w:b/>
          <w:sz w:val="23"/>
          <w:szCs w:val="23"/>
          <w:lang w:val="en-US"/>
        </w:rPr>
        <w:t>Uganda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?</w:t>
      </w:r>
    </w:p>
    <w:p w14:paraId="4469C7D9" w14:textId="4F207C00" w:rsidR="00651C67" w:rsidRPr="00EF4488" w:rsidRDefault="00F07286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Shareholders’ agreements</w:t>
      </w:r>
      <w:r w:rsidR="00651C67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ought to comply with the forma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liti</w:t>
      </w:r>
      <w:r w:rsidR="00651C67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es prescribed under the general </w:t>
      </w:r>
      <w:r w:rsidR="00307BBA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law </w:t>
      </w:r>
      <w:r w:rsidR="00651C67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of </w:t>
      </w:r>
      <w:r w:rsidR="00307BBA" w:rsidRPr="00EF4488">
        <w:rPr>
          <w:rFonts w:ascii="Times New Roman" w:hAnsi="Times New Roman" w:cs="Times New Roman"/>
          <w:sz w:val="23"/>
          <w:szCs w:val="23"/>
          <w:lang w:val="en-US"/>
        </w:rPr>
        <w:t>c</w:t>
      </w:r>
      <w:r w:rsidR="00651C67" w:rsidRPr="00EF4488">
        <w:rPr>
          <w:rFonts w:ascii="Times New Roman" w:hAnsi="Times New Roman" w:cs="Times New Roman"/>
          <w:sz w:val="23"/>
          <w:szCs w:val="23"/>
          <w:lang w:val="en-US"/>
        </w:rPr>
        <w:t>ontract.</w:t>
      </w:r>
      <w:r w:rsidR="004843DB">
        <w:rPr>
          <w:rFonts w:ascii="Times New Roman" w:hAnsi="Times New Roman" w:cs="Times New Roman"/>
          <w:sz w:val="23"/>
          <w:szCs w:val="23"/>
          <w:lang w:val="en-US"/>
        </w:rPr>
        <w:t xml:space="preserve"> These are:</w:t>
      </w:r>
    </w:p>
    <w:p w14:paraId="2924B057" w14:textId="4D9E327F" w:rsidR="00651C67" w:rsidRPr="00EF4488" w:rsidRDefault="00651C67" w:rsidP="00651C67">
      <w:pPr>
        <w:pStyle w:val="Prrafodelista"/>
        <w:numPr>
          <w:ilvl w:val="0"/>
          <w:numId w:val="2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The parties </w:t>
      </w:r>
      <w:r w:rsidR="00307BBA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should 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to have the capacity to enter into the agreement</w:t>
      </w:r>
      <w:r w:rsidR="00307BBA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. For </w:t>
      </w:r>
      <w:r w:rsidR="009F4BFF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instance, the parties must be of </w:t>
      </w:r>
      <w:r w:rsidR="004843DB">
        <w:rPr>
          <w:rFonts w:ascii="Times New Roman" w:hAnsi="Times New Roman" w:cs="Times New Roman"/>
          <w:sz w:val="23"/>
          <w:szCs w:val="23"/>
          <w:lang w:val="en-US"/>
        </w:rPr>
        <w:t xml:space="preserve">legal 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age</w:t>
      </w:r>
      <w:r w:rsidR="009F4BFF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and sound mind. </w:t>
      </w:r>
    </w:p>
    <w:p w14:paraId="7F8DD1A5" w14:textId="32E4E879" w:rsidR="00651C67" w:rsidRPr="00EF4488" w:rsidRDefault="00651C67" w:rsidP="00651C67">
      <w:pPr>
        <w:pStyle w:val="Prrafodelista"/>
        <w:numPr>
          <w:ilvl w:val="0"/>
          <w:numId w:val="2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The parties should enter into the agreement voluntarily</w:t>
      </w:r>
      <w:r w:rsidR="009F4BFF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and 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free from duress or coercion</w:t>
      </w:r>
      <w:r w:rsidR="009F4BFF" w:rsidRP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7EB09130" w14:textId="39CE637B" w:rsidR="00651C67" w:rsidRPr="00EF4488" w:rsidRDefault="009F4BFF" w:rsidP="00651C67">
      <w:pPr>
        <w:pStyle w:val="Prrafodelista"/>
        <w:numPr>
          <w:ilvl w:val="0"/>
          <w:numId w:val="2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The </w:t>
      </w:r>
      <w:r w:rsidR="00307BBA" w:rsidRPr="00EF4488">
        <w:rPr>
          <w:rFonts w:ascii="Times New Roman" w:hAnsi="Times New Roman" w:cs="Times New Roman"/>
          <w:sz w:val="23"/>
          <w:szCs w:val="23"/>
          <w:lang w:val="en-US"/>
        </w:rPr>
        <w:t>ag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reement must be</w:t>
      </w:r>
      <w:r w:rsidR="002544F5">
        <w:rPr>
          <w:rFonts w:ascii="Times New Roman" w:hAnsi="Times New Roman" w:cs="Times New Roman"/>
          <w:sz w:val="23"/>
          <w:szCs w:val="23"/>
          <w:lang w:val="en-US"/>
        </w:rPr>
        <w:t xml:space="preserve"> for lawful consideration and there must be the intention </w:t>
      </w:r>
      <w:r w:rsidR="00C352DD">
        <w:rPr>
          <w:rFonts w:ascii="Times New Roman" w:hAnsi="Times New Roman" w:cs="Times New Roman"/>
          <w:sz w:val="23"/>
          <w:szCs w:val="23"/>
          <w:lang w:val="en-US"/>
        </w:rPr>
        <w:t>for it to be</w:t>
      </w:r>
      <w:r w:rsidR="002544F5">
        <w:rPr>
          <w:rFonts w:ascii="Times New Roman" w:hAnsi="Times New Roman" w:cs="Times New Roman"/>
          <w:sz w:val="23"/>
          <w:szCs w:val="23"/>
          <w:lang w:val="en-US"/>
        </w:rPr>
        <w:t xml:space="preserve"> binding. </w:t>
      </w:r>
      <w:r w:rsidR="00C352DD">
        <w:rPr>
          <w:rFonts w:ascii="Times New Roman" w:hAnsi="Times New Roman" w:cs="Times New Roman"/>
          <w:sz w:val="23"/>
          <w:szCs w:val="23"/>
          <w:lang w:val="en-US"/>
        </w:rPr>
        <w:t>Agreements may be oral or written. However, those whose value exceeds UGX 500,000 must be in writing.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</w:p>
    <w:p w14:paraId="6202FA69" w14:textId="727E3B29" w:rsidR="00307BBA" w:rsidRPr="00EF4488" w:rsidRDefault="00307BBA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Note</w:t>
      </w:r>
      <w:r w:rsidR="00B933A3">
        <w:rPr>
          <w:rFonts w:ascii="Times New Roman" w:hAnsi="Times New Roman" w:cs="Times New Roman"/>
          <w:sz w:val="23"/>
          <w:szCs w:val="23"/>
          <w:lang w:val="en-US"/>
        </w:rPr>
        <w:t>: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there is no need for registration. </w:t>
      </w:r>
    </w:p>
    <w:p w14:paraId="70F7A7C6" w14:textId="02C3A927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Can shareholders’ agreements be brought to bea</w:t>
      </w:r>
      <w:r w:rsidR="00EF4488"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r against third parties such as 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purchasers of shares or successors?</w:t>
      </w:r>
    </w:p>
    <w:p w14:paraId="6FB5323C" w14:textId="6E85C0FE" w:rsidR="00965027" w:rsidRPr="00EF4488" w:rsidRDefault="009F4BFF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Yes, where there </w:t>
      </w:r>
      <w:r w:rsidR="00307BBA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are 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express provisions to that effect</w:t>
      </w:r>
      <w:r w:rsidR="00C352DD">
        <w:rPr>
          <w:rFonts w:ascii="Times New Roman" w:hAnsi="Times New Roman" w:cs="Times New Roman"/>
          <w:sz w:val="23"/>
          <w:szCs w:val="23"/>
          <w:lang w:val="en-US"/>
        </w:rPr>
        <w:t>, that is, when the agreements expressly state that these will bind successors in title or subsequent purchasers of shares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. </w:t>
      </w:r>
    </w:p>
    <w:p w14:paraId="1555095B" w14:textId="0F844B88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Can a shareholders’ agreement regulate non-company contents?</w:t>
      </w:r>
    </w:p>
    <w:p w14:paraId="7A54AEB6" w14:textId="4053C3A1" w:rsidR="00B13820" w:rsidRPr="00EF4488" w:rsidRDefault="009F4BFF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This is rare but it is possible if the parties expressly provide for </w:t>
      </w:r>
      <w:r w:rsidR="004843DB">
        <w:rPr>
          <w:rFonts w:ascii="Times New Roman" w:hAnsi="Times New Roman" w:cs="Times New Roman"/>
          <w:sz w:val="23"/>
          <w:szCs w:val="23"/>
          <w:lang w:val="en-US"/>
        </w:rPr>
        <w:t>such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non-company content. </w:t>
      </w:r>
    </w:p>
    <w:p w14:paraId="57B7B499" w14:textId="320434D0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Are there limits on the term of shareholders’ agreements under the law of the </w:t>
      </w:r>
      <w:r w:rsidR="00EF4488" w:rsidRPr="00F95CC7">
        <w:rPr>
          <w:rFonts w:ascii="Times New Roman" w:hAnsi="Times New Roman" w:cs="Times New Roman"/>
          <w:b/>
          <w:sz w:val="23"/>
          <w:szCs w:val="23"/>
          <w:lang w:val="en-US"/>
        </w:rPr>
        <w:t>Uganda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?</w:t>
      </w:r>
    </w:p>
    <w:p w14:paraId="3D9840ED" w14:textId="47AB8119" w:rsidR="00A52B27" w:rsidRPr="00EF4488" w:rsidRDefault="009F4BFF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There is no limit. </w:t>
      </w:r>
    </w:p>
    <w:p w14:paraId="2CE2174B" w14:textId="4D72B829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Are shareholders’ agreements related to actions by directors valid in </w:t>
      </w:r>
      <w:r w:rsidR="00EF4488" w:rsidRPr="00F95CC7">
        <w:rPr>
          <w:rFonts w:ascii="Times New Roman" w:hAnsi="Times New Roman" w:cs="Times New Roman"/>
          <w:b/>
          <w:sz w:val="23"/>
          <w:szCs w:val="23"/>
          <w:lang w:val="en-US"/>
        </w:rPr>
        <w:t>Uganda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?</w:t>
      </w:r>
    </w:p>
    <w:p w14:paraId="78A45EE6" w14:textId="48711590" w:rsidR="00A52B27" w:rsidRPr="00EF4488" w:rsidRDefault="00A52B27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Yes</w:t>
      </w:r>
      <w:r w:rsidR="003A7F2D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, </w:t>
      </w:r>
      <w:r w:rsidR="004843DB" w:rsidRPr="00EF4488">
        <w:rPr>
          <w:rFonts w:ascii="Times New Roman" w:hAnsi="Times New Roman" w:cs="Times New Roman"/>
          <w:sz w:val="23"/>
          <w:szCs w:val="23"/>
          <w:lang w:val="en-US"/>
        </w:rPr>
        <w:t>shareholder</w:t>
      </w:r>
      <w:r w:rsidR="004843DB">
        <w:rPr>
          <w:rFonts w:ascii="Times New Roman" w:hAnsi="Times New Roman" w:cs="Times New Roman"/>
          <w:sz w:val="23"/>
          <w:szCs w:val="23"/>
          <w:lang w:val="en-US"/>
        </w:rPr>
        <w:t>s’</w:t>
      </w:r>
      <w:r w:rsidR="004843DB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agreements </w:t>
      </w:r>
      <w:r w:rsidR="003A7F2D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usually provide for matters concerning directors. For instance appointment and remuneration. </w:t>
      </w:r>
    </w:p>
    <w:p w14:paraId="54D9A8C5" w14:textId="3089243B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Does the law of </w:t>
      </w:r>
      <w:r w:rsidR="00EF4488" w:rsidRPr="00F95CC7">
        <w:rPr>
          <w:rFonts w:ascii="Times New Roman" w:hAnsi="Times New Roman" w:cs="Times New Roman"/>
          <w:b/>
          <w:sz w:val="23"/>
          <w:szCs w:val="23"/>
          <w:lang w:val="en-US"/>
        </w:rPr>
        <w:t>Uganda</w:t>
      </w:r>
      <w:r w:rsidR="003A7F2D"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 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permit restrictions on transfer of shares?</w:t>
      </w:r>
    </w:p>
    <w:p w14:paraId="3D2C7A4A" w14:textId="21428B68" w:rsidR="00B43ABE" w:rsidRPr="00EF4488" w:rsidRDefault="00B43ABE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lastRenderedPageBreak/>
        <w:t>Yes</w:t>
      </w:r>
      <w:r w:rsidR="003A7F2D" w:rsidRPr="00EF4488">
        <w:rPr>
          <w:rFonts w:ascii="Times New Roman" w:hAnsi="Times New Roman" w:cs="Times New Roman"/>
          <w:sz w:val="23"/>
          <w:szCs w:val="23"/>
          <w:lang w:val="en-US"/>
        </w:rPr>
        <w:t>. For instance</w:t>
      </w:r>
      <w:r w:rsidR="00B933A3">
        <w:rPr>
          <w:rFonts w:ascii="Times New Roman" w:hAnsi="Times New Roman" w:cs="Times New Roman"/>
          <w:sz w:val="23"/>
          <w:szCs w:val="23"/>
          <w:lang w:val="en-US"/>
        </w:rPr>
        <w:t>,</w:t>
      </w:r>
      <w:r w:rsidR="003A7F2D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the template Articles of Association under Table A of the Companies Act (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Article 24</w:t>
      </w:r>
      <w:r w:rsidR="003A7F2D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) </w:t>
      </w:r>
      <w:r w:rsidR="00D53861" w:rsidRPr="00EF4488">
        <w:rPr>
          <w:rFonts w:ascii="Times New Roman" w:hAnsi="Times New Roman" w:cs="Times New Roman"/>
          <w:sz w:val="23"/>
          <w:szCs w:val="23"/>
          <w:lang w:val="en-US"/>
        </w:rPr>
        <w:t>empower</w:t>
      </w:r>
      <w:r w:rsidR="003A7F2D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s 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d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irectors to decline the registration of the </w:t>
      </w:r>
      <w:r w:rsidR="003A7F2D" w:rsidRPr="00EF4488">
        <w:rPr>
          <w:rFonts w:ascii="Times New Roman" w:hAnsi="Times New Roman" w:cs="Times New Roman"/>
          <w:sz w:val="23"/>
          <w:szCs w:val="23"/>
          <w:lang w:val="en-US"/>
        </w:rPr>
        <w:t>t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ransfer o</w:t>
      </w:r>
      <w:r w:rsidR="003A7F2D" w:rsidRPr="00EF4488">
        <w:rPr>
          <w:rFonts w:ascii="Times New Roman" w:hAnsi="Times New Roman" w:cs="Times New Roman"/>
          <w:sz w:val="23"/>
          <w:szCs w:val="23"/>
          <w:lang w:val="en-US"/>
        </w:rPr>
        <w:t>f s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hares if they do not approve of the transferee and if the company has a lien over the share.</w:t>
      </w:r>
    </w:p>
    <w:p w14:paraId="6E5C31DC" w14:textId="67B9804C" w:rsidR="00B43ABE" w:rsidRPr="00EF4488" w:rsidRDefault="00B43ABE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A transfer of </w:t>
      </w:r>
      <w:r w:rsidR="003A7F2D" w:rsidRPr="00EF4488">
        <w:rPr>
          <w:rFonts w:ascii="Times New Roman" w:hAnsi="Times New Roman" w:cs="Times New Roman"/>
          <w:sz w:val="23"/>
          <w:szCs w:val="23"/>
          <w:lang w:val="en-US"/>
        </w:rPr>
        <w:t>s</w:t>
      </w:r>
      <w:r w:rsidR="00B933A3">
        <w:rPr>
          <w:rFonts w:ascii="Times New Roman" w:hAnsi="Times New Roman" w:cs="Times New Roman"/>
          <w:sz w:val="23"/>
          <w:szCs w:val="23"/>
          <w:lang w:val="en-US"/>
        </w:rPr>
        <w:t>hares may also be restricted if:</w:t>
      </w:r>
    </w:p>
    <w:p w14:paraId="61F1C1FA" w14:textId="23EF5DCE" w:rsidR="00B43ABE" w:rsidRPr="00EF4488" w:rsidRDefault="00EF4488" w:rsidP="00855D80">
      <w:pPr>
        <w:pStyle w:val="Prrafodelista"/>
        <w:numPr>
          <w:ilvl w:val="0"/>
          <w:numId w:val="8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A</w:t>
      </w:r>
      <w:r w:rsidR="00B43ABE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requisite fee has not been paid for the transfer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12AB73CE" w14:textId="5F78A427" w:rsidR="00B43ABE" w:rsidRPr="00EF4488" w:rsidRDefault="00B43ABE" w:rsidP="00855D80">
      <w:pPr>
        <w:pStyle w:val="Prrafodelista"/>
        <w:numPr>
          <w:ilvl w:val="0"/>
          <w:numId w:val="8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The instrument of transfer is not accompanied by the certificate of the shares to which it relates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56867376" w14:textId="323E475B" w:rsidR="00B43ABE" w:rsidRDefault="00B43ABE" w:rsidP="00855D80">
      <w:pPr>
        <w:pStyle w:val="Prrafodelista"/>
        <w:numPr>
          <w:ilvl w:val="0"/>
          <w:numId w:val="8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The instrument </w:t>
      </w:r>
      <w:r w:rsidR="00C65D8C" w:rsidRPr="00EF4488">
        <w:rPr>
          <w:rFonts w:ascii="Times New Roman" w:hAnsi="Times New Roman" w:cs="Times New Roman"/>
          <w:sz w:val="23"/>
          <w:szCs w:val="23"/>
          <w:lang w:val="en-US"/>
        </w:rPr>
        <w:t>of transfer is in respect of more than one class of shares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781FCAAB" w14:textId="77777777" w:rsidR="00F95CC7" w:rsidRPr="00EF4488" w:rsidRDefault="00F95CC7" w:rsidP="00F95CC7">
      <w:pPr>
        <w:pStyle w:val="Prrafodelista"/>
        <w:ind w:left="1068"/>
        <w:jc w:val="both"/>
        <w:rPr>
          <w:rFonts w:ascii="Times New Roman" w:hAnsi="Times New Roman" w:cs="Times New Roman"/>
          <w:sz w:val="23"/>
          <w:szCs w:val="23"/>
          <w:lang w:val="en-US"/>
        </w:rPr>
      </w:pPr>
    </w:p>
    <w:p w14:paraId="7DEF1886" w14:textId="2F8E109B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What mechanisms does the law of </w:t>
      </w:r>
      <w:r w:rsidR="00EF4488" w:rsidRPr="00F95CC7">
        <w:rPr>
          <w:rFonts w:ascii="Times New Roman" w:hAnsi="Times New Roman" w:cs="Times New Roman"/>
          <w:b/>
          <w:sz w:val="23"/>
          <w:szCs w:val="23"/>
          <w:lang w:val="en-US"/>
        </w:rPr>
        <w:t>Uganda</w:t>
      </w:r>
      <w:r w:rsidR="00855D80"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 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permit for regulating share transfers?</w:t>
      </w:r>
    </w:p>
    <w:p w14:paraId="79C67C2F" w14:textId="3CB8737D" w:rsidR="00855D80" w:rsidRPr="00EF4488" w:rsidRDefault="00855D80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Usually, there is a </w:t>
      </w:r>
      <w:r w:rsidR="00980F4A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requirement of the </w:t>
      </w:r>
      <w:r w:rsidR="00307BBA" w:rsidRPr="00EF4488">
        <w:rPr>
          <w:rFonts w:ascii="Times New Roman" w:hAnsi="Times New Roman" w:cs="Times New Roman"/>
          <w:sz w:val="23"/>
          <w:szCs w:val="23"/>
          <w:lang w:val="en-US"/>
        </w:rPr>
        <w:t>d</w:t>
      </w:r>
      <w:r w:rsidR="00980F4A" w:rsidRPr="00EF4488">
        <w:rPr>
          <w:rFonts w:ascii="Times New Roman" w:hAnsi="Times New Roman" w:cs="Times New Roman"/>
          <w:sz w:val="23"/>
          <w:szCs w:val="23"/>
          <w:lang w:val="en-US"/>
        </w:rPr>
        <w:t>irectors’ approval and mandatory registration of all share transfers.</w:t>
      </w:r>
    </w:p>
    <w:p w14:paraId="2D3DC49C" w14:textId="31E02F4A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In</w:t>
      </w:r>
      <w:r w:rsidR="00855D80"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 </w:t>
      </w:r>
      <w:r w:rsidR="00EF4488" w:rsidRPr="00F95CC7">
        <w:rPr>
          <w:rFonts w:ascii="Times New Roman" w:hAnsi="Times New Roman" w:cs="Times New Roman"/>
          <w:b/>
          <w:sz w:val="23"/>
          <w:szCs w:val="23"/>
          <w:lang w:val="en-US"/>
        </w:rPr>
        <w:t>Uganda</w:t>
      </w:r>
      <w:r w:rsidR="00855D80"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 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do by-laws tend to be tailor-drafted, or do they tend to use standard formats?</w:t>
      </w:r>
    </w:p>
    <w:p w14:paraId="35AC4E11" w14:textId="21E74475" w:rsidR="00F61FE7" w:rsidRPr="00EF4488" w:rsidRDefault="00F61FE7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The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re are template 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Articles of Association that </w:t>
      </w:r>
      <w:r w:rsidRPr="00B933A3">
        <w:rPr>
          <w:rFonts w:ascii="Times New Roman" w:hAnsi="Times New Roman" w:cs="Times New Roman"/>
          <w:sz w:val="23"/>
          <w:szCs w:val="23"/>
          <w:lang w:val="en-US"/>
        </w:rPr>
        <w:t>may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be adopted by companies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 xml:space="preserve"> as by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-laws. </w:t>
      </w:r>
      <w:r w:rsidR="00B933A3">
        <w:rPr>
          <w:rFonts w:ascii="Times New Roman" w:hAnsi="Times New Roman" w:cs="Times New Roman"/>
          <w:sz w:val="23"/>
          <w:szCs w:val="23"/>
          <w:lang w:val="en-US"/>
        </w:rPr>
        <w:t>Nevertheless,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the companies are </w:t>
      </w:r>
      <w:r w:rsidR="00B933A3">
        <w:rPr>
          <w:rFonts w:ascii="Times New Roman" w:hAnsi="Times New Roman" w:cs="Times New Roman"/>
          <w:sz w:val="23"/>
          <w:szCs w:val="23"/>
          <w:lang w:val="en-US"/>
        </w:rPr>
        <w:t xml:space="preserve">free 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to tailor</w:t>
      </w:r>
      <w:r w:rsidR="00307BBA" w:rsidRPr="00EF4488">
        <w:rPr>
          <w:rFonts w:ascii="Times New Roman" w:hAnsi="Times New Roman" w:cs="Times New Roman"/>
          <w:sz w:val="23"/>
          <w:szCs w:val="23"/>
          <w:lang w:val="en-US"/>
        </w:rPr>
        <w:t>-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draft their own.</w:t>
      </w:r>
      <w:r w:rsidR="00F95CC7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In practice however, most companies adopt the standard template but with a few modifications that are of particular interest</w:t>
      </w:r>
      <w:r w:rsidR="00307BBA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to them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. </w:t>
      </w:r>
    </w:p>
    <w:p w14:paraId="2E3BC143" w14:textId="540D296A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What are the motives in </w:t>
      </w:r>
      <w:r w:rsidR="00EF4488" w:rsidRPr="00F95CC7">
        <w:rPr>
          <w:rFonts w:ascii="Times New Roman" w:hAnsi="Times New Roman" w:cs="Times New Roman"/>
          <w:b/>
          <w:sz w:val="23"/>
          <w:szCs w:val="23"/>
          <w:lang w:val="en-US"/>
        </w:rPr>
        <w:t>Uganda</w:t>
      </w:r>
      <w:r w:rsidR="00855D80"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 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for executing shareholders’ agreements?</w:t>
      </w:r>
    </w:p>
    <w:p w14:paraId="3AACBC7F" w14:textId="1B6D3CE2" w:rsidR="00855D80" w:rsidRPr="00EF4488" w:rsidRDefault="00D53861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The main motive is to </w:t>
      </w:r>
      <w:r w:rsidR="00D77241" w:rsidRPr="00EF4488">
        <w:rPr>
          <w:rFonts w:ascii="Times New Roman" w:hAnsi="Times New Roman" w:cs="Times New Roman"/>
          <w:sz w:val="23"/>
          <w:szCs w:val="23"/>
          <w:lang w:val="en-US"/>
        </w:rPr>
        <w:t>establish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and regulate the relationship amongst the 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s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hareholders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in relation to their interest in the company, over and above </w:t>
      </w:r>
      <w:r w:rsidR="00307BBA" w:rsidRPr="00EF4488">
        <w:rPr>
          <w:rFonts w:ascii="Times New Roman" w:hAnsi="Times New Roman" w:cs="Times New Roman"/>
          <w:sz w:val="23"/>
          <w:szCs w:val="23"/>
          <w:lang w:val="en-US"/>
        </w:rPr>
        <w:t>the regulation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provided under the general </w:t>
      </w:r>
      <w:r w:rsidR="00307BBA" w:rsidRPr="00EF4488">
        <w:rPr>
          <w:rFonts w:ascii="Times New Roman" w:hAnsi="Times New Roman" w:cs="Times New Roman"/>
          <w:sz w:val="23"/>
          <w:szCs w:val="23"/>
          <w:lang w:val="en-US"/>
        </w:rPr>
        <w:t>company’s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law. </w:t>
      </w:r>
    </w:p>
    <w:p w14:paraId="3EC7145C" w14:textId="360B195E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What contents tend to be included in shareholders’ agreements in </w:t>
      </w:r>
      <w:r w:rsidR="00855D80" w:rsidRPr="00F95CC7">
        <w:rPr>
          <w:rFonts w:ascii="Times New Roman" w:hAnsi="Times New Roman" w:cs="Times New Roman"/>
          <w:b/>
          <w:sz w:val="23"/>
          <w:szCs w:val="23"/>
          <w:lang w:val="en-US"/>
        </w:rPr>
        <w:t>U</w:t>
      </w:r>
      <w:r w:rsidR="00EF4488" w:rsidRPr="00F95CC7">
        <w:rPr>
          <w:rFonts w:ascii="Times New Roman" w:hAnsi="Times New Roman" w:cs="Times New Roman"/>
          <w:b/>
          <w:sz w:val="23"/>
          <w:szCs w:val="23"/>
          <w:lang w:val="en-US"/>
        </w:rPr>
        <w:t>ganda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?</w:t>
      </w:r>
    </w:p>
    <w:p w14:paraId="7664F5DE" w14:textId="77777777" w:rsidR="00D53861" w:rsidRPr="00EF4488" w:rsidRDefault="00D53861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Shareholder</w:t>
      </w:r>
      <w:r w:rsidR="00980F4A" w:rsidRPr="00EF4488">
        <w:rPr>
          <w:rFonts w:ascii="Times New Roman" w:hAnsi="Times New Roman" w:cs="Times New Roman"/>
          <w:sz w:val="23"/>
          <w:szCs w:val="23"/>
          <w:lang w:val="en-US"/>
        </w:rPr>
        <w:t>s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’</w:t>
      </w:r>
      <w:r w:rsidR="00980F4A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agreements usually contain the following clauses;</w:t>
      </w:r>
    </w:p>
    <w:p w14:paraId="1A394DCC" w14:textId="2404E890" w:rsidR="00D53861" w:rsidRPr="00EF4488" w:rsidRDefault="00855D80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Contribution of capital.</w:t>
      </w:r>
    </w:p>
    <w:p w14:paraId="236A403C" w14:textId="58975C40" w:rsidR="00D53861" w:rsidRPr="00EF4488" w:rsidRDefault="00D53861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Appointment and 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r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emoval of 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d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irectors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3E2F0F52" w14:textId="41BAEB67" w:rsidR="00D53861" w:rsidRPr="00EF4488" w:rsidRDefault="00D53861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Shareholders’ meetings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2E6B883E" w14:textId="7023ACFE" w:rsidR="00D53861" w:rsidRPr="00EF4488" w:rsidRDefault="00D53861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Transfer of 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s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hares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and exits.</w:t>
      </w:r>
    </w:p>
    <w:p w14:paraId="08D24348" w14:textId="4137BEF4" w:rsidR="00D53861" w:rsidRPr="00EF4488" w:rsidRDefault="00BC1067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Indemnity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056BCDE4" w14:textId="12A5726E" w:rsidR="00D53861" w:rsidRDefault="00D53861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Financial Accounting, Planning and Reporting</w:t>
      </w:r>
      <w:r w:rsidR="00855D80" w:rsidRP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460BFF6C" w14:textId="77777777" w:rsidR="00F95CC7" w:rsidRPr="00EF4488" w:rsidRDefault="00F95CC7" w:rsidP="00F95CC7">
      <w:pPr>
        <w:pStyle w:val="Prrafodelista"/>
        <w:ind w:left="1080"/>
        <w:jc w:val="both"/>
        <w:rPr>
          <w:rFonts w:ascii="Times New Roman" w:hAnsi="Times New Roman" w:cs="Times New Roman"/>
          <w:sz w:val="23"/>
          <w:szCs w:val="23"/>
          <w:lang w:val="en-US"/>
        </w:rPr>
      </w:pPr>
    </w:p>
    <w:p w14:paraId="309E5DBF" w14:textId="35C7E81B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What determines the content included in shareholders’ agreements in </w:t>
      </w:r>
      <w:r w:rsidR="00855D80" w:rsidRPr="00F95CC7">
        <w:rPr>
          <w:rFonts w:ascii="Times New Roman" w:hAnsi="Times New Roman" w:cs="Times New Roman"/>
          <w:b/>
          <w:sz w:val="23"/>
          <w:szCs w:val="23"/>
          <w:lang w:val="en-US"/>
        </w:rPr>
        <w:t>U</w:t>
      </w:r>
      <w:r w:rsidR="00EF4488" w:rsidRPr="00F95CC7">
        <w:rPr>
          <w:rFonts w:ascii="Times New Roman" w:hAnsi="Times New Roman" w:cs="Times New Roman"/>
          <w:b/>
          <w:sz w:val="23"/>
          <w:szCs w:val="23"/>
          <w:lang w:val="en-US"/>
        </w:rPr>
        <w:t>ganda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?</w:t>
      </w:r>
    </w:p>
    <w:p w14:paraId="467F4167" w14:textId="58FF06AC" w:rsidR="00980F4A" w:rsidRPr="00EF4488" w:rsidRDefault="00980F4A" w:rsidP="00D77241">
      <w:pPr>
        <w:pStyle w:val="Prrafodelista"/>
        <w:numPr>
          <w:ilvl w:val="0"/>
          <w:numId w:val="6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The natu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 xml:space="preserve">re of the business of the </w:t>
      </w:r>
      <w:r w:rsidR="00D77241" w:rsidRPr="00EF4488">
        <w:rPr>
          <w:rFonts w:ascii="Times New Roman" w:hAnsi="Times New Roman" w:cs="Times New Roman"/>
          <w:sz w:val="23"/>
          <w:szCs w:val="23"/>
          <w:lang w:val="en-US"/>
        </w:rPr>
        <w:t>company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1AFCDE2B" w14:textId="34C3CED0" w:rsidR="00D77241" w:rsidRDefault="00D77241" w:rsidP="00D77241">
      <w:pPr>
        <w:pStyle w:val="Prrafodelista"/>
        <w:numPr>
          <w:ilvl w:val="0"/>
          <w:numId w:val="6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The </w:t>
      </w:r>
      <w:r w:rsidR="00B933A3">
        <w:rPr>
          <w:rFonts w:ascii="Times New Roman" w:hAnsi="Times New Roman" w:cs="Times New Roman"/>
          <w:sz w:val="23"/>
          <w:szCs w:val="23"/>
          <w:lang w:val="en-US"/>
        </w:rPr>
        <w:t>intention</w:t>
      </w:r>
      <w:r w:rsidR="00C10E14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of the parties. </w:t>
      </w:r>
    </w:p>
    <w:p w14:paraId="7C02FD4A" w14:textId="77777777" w:rsidR="00F95CC7" w:rsidRPr="00EF4488" w:rsidRDefault="00F95CC7" w:rsidP="00F95CC7">
      <w:pPr>
        <w:pStyle w:val="Prrafodelista"/>
        <w:jc w:val="both"/>
        <w:rPr>
          <w:rFonts w:ascii="Times New Roman" w:hAnsi="Times New Roman" w:cs="Times New Roman"/>
          <w:sz w:val="23"/>
          <w:szCs w:val="23"/>
          <w:lang w:val="en-US"/>
        </w:rPr>
      </w:pPr>
    </w:p>
    <w:p w14:paraId="71E3D19D" w14:textId="54CDF37E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What are the most common types of clauses in shareholders’ agreements in </w:t>
      </w:r>
      <w:r w:rsidR="00C10E14" w:rsidRPr="00F95CC7">
        <w:rPr>
          <w:rFonts w:ascii="Times New Roman" w:hAnsi="Times New Roman" w:cs="Times New Roman"/>
          <w:b/>
          <w:sz w:val="23"/>
          <w:szCs w:val="23"/>
          <w:lang w:val="en-US"/>
        </w:rPr>
        <w:t>U</w:t>
      </w:r>
      <w:r w:rsidR="00EF4488" w:rsidRPr="00F95CC7">
        <w:rPr>
          <w:rFonts w:ascii="Times New Roman" w:hAnsi="Times New Roman" w:cs="Times New Roman"/>
          <w:b/>
          <w:sz w:val="23"/>
          <w:szCs w:val="23"/>
          <w:lang w:val="en-US"/>
        </w:rPr>
        <w:t>ganda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?</w:t>
      </w:r>
    </w:p>
    <w:p w14:paraId="4BED6481" w14:textId="77777777" w:rsidR="00D77241" w:rsidRPr="00EF4488" w:rsidRDefault="00D77241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Shareholders’ agreements usually contain the following clauses;</w:t>
      </w:r>
    </w:p>
    <w:p w14:paraId="6D357510" w14:textId="7C87F9C6" w:rsidR="00D77241" w:rsidRPr="00EF4488" w:rsidRDefault="00D77241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lastRenderedPageBreak/>
        <w:t>Share Capital and Shareholdings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36D8DC9A" w14:textId="07862149" w:rsidR="00D77241" w:rsidRPr="00EF4488" w:rsidRDefault="00D77241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Appointment and Removal of Directors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3893C81A" w14:textId="3FB7A6D7" w:rsidR="00D77241" w:rsidRPr="00EF4488" w:rsidRDefault="00D77241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Shareholders’ meetings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18706437" w14:textId="03885E3A" w:rsidR="00D77241" w:rsidRPr="00EF4488" w:rsidRDefault="00D77241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Transfer of Shares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2AC1527F" w14:textId="0298F218" w:rsidR="00D77241" w:rsidRPr="00EF4488" w:rsidRDefault="00EF4488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B933A3">
        <w:rPr>
          <w:rFonts w:ascii="Times New Roman" w:hAnsi="Times New Roman" w:cs="Times New Roman"/>
          <w:sz w:val="23"/>
          <w:szCs w:val="23"/>
          <w:lang w:val="en-US"/>
        </w:rPr>
        <w:t>Suretyships</w:t>
      </w:r>
      <w:r>
        <w:rPr>
          <w:rFonts w:ascii="Times New Roman" w:hAnsi="Times New Roman" w:cs="Times New Roman"/>
          <w:sz w:val="23"/>
          <w:szCs w:val="23"/>
          <w:lang w:val="en-US"/>
        </w:rPr>
        <w:t>/ Guarantees.</w:t>
      </w:r>
    </w:p>
    <w:p w14:paraId="558694AC" w14:textId="31F80866" w:rsidR="00D77241" w:rsidRPr="00EF4488" w:rsidRDefault="00D77241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Indemnity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27026FB7" w14:textId="408C24D0" w:rsidR="00D77241" w:rsidRPr="00EF4488" w:rsidRDefault="00D77241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Financial Accounting, Planning and Reporting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2384822B" w14:textId="5B6D0BD7" w:rsidR="00D77241" w:rsidRPr="00EF4488" w:rsidRDefault="00D77241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Shareholder Commitments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2D82786D" w14:textId="016C2481" w:rsidR="00D77241" w:rsidRPr="00EF4488" w:rsidRDefault="00D77241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Applicable law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0152A80C" w14:textId="2CC123D5" w:rsidR="007A71A5" w:rsidRPr="00EF4488" w:rsidRDefault="007A71A5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Tag Along </w:t>
      </w:r>
      <w:r w:rsidR="00356F9D" w:rsidRPr="00EF4488">
        <w:rPr>
          <w:rFonts w:ascii="Times New Roman" w:hAnsi="Times New Roman" w:cs="Times New Roman"/>
          <w:sz w:val="23"/>
          <w:szCs w:val="23"/>
          <w:lang w:val="en-US"/>
        </w:rPr>
        <w:t>R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ights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5B057B8C" w14:textId="08887A59" w:rsidR="0026278A" w:rsidRPr="00EF4488" w:rsidRDefault="0026278A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Drag Along Rights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7C61839F" w14:textId="76CA70BF" w:rsidR="0026278A" w:rsidRPr="00EF4488" w:rsidRDefault="0026278A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Pre-Emptive Rights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4403674B" w14:textId="794ABF40" w:rsidR="0026278A" w:rsidRPr="00EF4488" w:rsidRDefault="00EF4488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>
        <w:rPr>
          <w:rFonts w:ascii="Times New Roman" w:hAnsi="Times New Roman" w:cs="Times New Roman"/>
          <w:sz w:val="23"/>
          <w:szCs w:val="23"/>
          <w:lang w:val="en-US"/>
        </w:rPr>
        <w:t>Valuation.</w:t>
      </w:r>
    </w:p>
    <w:p w14:paraId="519E7DE3" w14:textId="4397E446" w:rsidR="0026278A" w:rsidRPr="00EF4488" w:rsidRDefault="0026278A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Protective Covenants</w:t>
      </w:r>
      <w:r w:rsid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48505EE8" w14:textId="5F756DBC" w:rsidR="0026278A" w:rsidRPr="00EF4488" w:rsidRDefault="00EF4488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>
        <w:rPr>
          <w:rFonts w:ascii="Times New Roman" w:hAnsi="Times New Roman" w:cs="Times New Roman"/>
          <w:sz w:val="23"/>
          <w:szCs w:val="23"/>
          <w:lang w:val="en-US"/>
        </w:rPr>
        <w:t>Confidentiality.</w:t>
      </w:r>
    </w:p>
    <w:p w14:paraId="4E55C445" w14:textId="5DE143E1" w:rsidR="00D77241" w:rsidRDefault="00D77241" w:rsidP="00B933A3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Dispute Resolution</w:t>
      </w:r>
      <w:r w:rsidR="00C10E14" w:rsidRPr="00EF4488">
        <w:rPr>
          <w:rFonts w:ascii="Times New Roman" w:hAnsi="Times New Roman" w:cs="Times New Roman"/>
          <w:sz w:val="23"/>
          <w:szCs w:val="23"/>
          <w:lang w:val="en-US"/>
        </w:rPr>
        <w:t>.</w:t>
      </w:r>
    </w:p>
    <w:p w14:paraId="19FDEACC" w14:textId="77777777" w:rsidR="00F95CC7" w:rsidRPr="00EF4488" w:rsidRDefault="00F95CC7" w:rsidP="00F95CC7">
      <w:pPr>
        <w:pStyle w:val="Prrafodelista"/>
        <w:ind w:left="1080"/>
        <w:jc w:val="both"/>
        <w:rPr>
          <w:rFonts w:ascii="Times New Roman" w:hAnsi="Times New Roman" w:cs="Times New Roman"/>
          <w:sz w:val="23"/>
          <w:szCs w:val="23"/>
          <w:lang w:val="en-US"/>
        </w:rPr>
      </w:pPr>
    </w:p>
    <w:p w14:paraId="73A43FFE" w14:textId="06A14A92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What mechanisms does the law of </w:t>
      </w:r>
      <w:r w:rsidR="00C10E14" w:rsidRPr="00F95CC7">
        <w:rPr>
          <w:rFonts w:ascii="Times New Roman" w:hAnsi="Times New Roman" w:cs="Times New Roman"/>
          <w:b/>
          <w:sz w:val="23"/>
          <w:szCs w:val="23"/>
          <w:lang w:val="en-US"/>
        </w:rPr>
        <w:t>U</w:t>
      </w:r>
      <w:r w:rsidR="00EF4488" w:rsidRPr="00F95CC7">
        <w:rPr>
          <w:rFonts w:ascii="Times New Roman" w:hAnsi="Times New Roman" w:cs="Times New Roman"/>
          <w:b/>
          <w:sz w:val="23"/>
          <w:szCs w:val="23"/>
          <w:lang w:val="en-US"/>
        </w:rPr>
        <w:t>ganda</w:t>
      </w:r>
      <w:r w:rsidR="00C10E14"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 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permit to ensure participation of minorities on the board of directors and its control?</w:t>
      </w:r>
    </w:p>
    <w:p w14:paraId="7F37E89C" w14:textId="0E978B48" w:rsidR="00D77241" w:rsidRPr="00EF4488" w:rsidRDefault="00C10E14" w:rsidP="00EF4488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Uganda law has </w:t>
      </w:r>
      <w:bookmarkStart w:id="0" w:name="_GoBack"/>
      <w:bookmarkEnd w:id="0"/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no such mechanism. The shareholders are </w:t>
      </w:r>
      <w:r w:rsidR="00B933A3">
        <w:rPr>
          <w:rFonts w:ascii="Times New Roman" w:hAnsi="Times New Roman" w:cs="Times New Roman"/>
          <w:sz w:val="23"/>
          <w:szCs w:val="23"/>
          <w:lang w:val="en-US"/>
        </w:rPr>
        <w:t xml:space="preserve">free 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to choose who appoints what number of directors to the board. However, </w:t>
      </w:r>
      <w:r w:rsidR="00D77241" w:rsidRPr="00EF4488">
        <w:rPr>
          <w:rFonts w:ascii="Times New Roman" w:hAnsi="Times New Roman" w:cs="Times New Roman"/>
          <w:i/>
          <w:sz w:val="23"/>
          <w:szCs w:val="23"/>
          <w:lang w:val="en-US"/>
        </w:rPr>
        <w:t>Section</w:t>
      </w:r>
      <w:r w:rsidRPr="00EF4488">
        <w:rPr>
          <w:rFonts w:ascii="Times New Roman" w:hAnsi="Times New Roman" w:cs="Times New Roman"/>
          <w:i/>
          <w:sz w:val="23"/>
          <w:szCs w:val="23"/>
          <w:lang w:val="en-US"/>
        </w:rPr>
        <w:t>s</w:t>
      </w:r>
      <w:r w:rsidR="00D77241" w:rsidRPr="00EF4488">
        <w:rPr>
          <w:rFonts w:ascii="Times New Roman" w:hAnsi="Times New Roman" w:cs="Times New Roman"/>
          <w:i/>
          <w:sz w:val="23"/>
          <w:szCs w:val="23"/>
          <w:lang w:val="en-US"/>
        </w:rPr>
        <w:t xml:space="preserve"> 247</w:t>
      </w:r>
      <w:r w:rsidRPr="00EF4488">
        <w:rPr>
          <w:rFonts w:ascii="Times New Roman" w:hAnsi="Times New Roman" w:cs="Times New Roman"/>
          <w:i/>
          <w:sz w:val="23"/>
          <w:szCs w:val="23"/>
          <w:lang w:val="en-US"/>
        </w:rPr>
        <w:t xml:space="preserve"> 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and</w:t>
      </w:r>
      <w:r w:rsidRPr="00EF4488">
        <w:rPr>
          <w:rFonts w:ascii="Times New Roman" w:hAnsi="Times New Roman" w:cs="Times New Roman"/>
          <w:i/>
          <w:sz w:val="23"/>
          <w:szCs w:val="23"/>
          <w:lang w:val="en-US"/>
        </w:rPr>
        <w:t xml:space="preserve"> 248</w:t>
      </w:r>
      <w:r w:rsidR="00D77241" w:rsidRPr="00EF4488">
        <w:rPr>
          <w:rFonts w:ascii="Times New Roman" w:hAnsi="Times New Roman" w:cs="Times New Roman"/>
          <w:i/>
          <w:sz w:val="23"/>
          <w:szCs w:val="23"/>
          <w:lang w:val="en-US"/>
        </w:rPr>
        <w:t xml:space="preserve"> of the Companies Act</w:t>
      </w:r>
      <w:r w:rsidRPr="00EF4488">
        <w:rPr>
          <w:rFonts w:ascii="Times New Roman" w:hAnsi="Times New Roman" w:cs="Times New Roman"/>
          <w:i/>
          <w:sz w:val="23"/>
          <w:szCs w:val="23"/>
          <w:lang w:val="en-US"/>
        </w:rPr>
        <w:t xml:space="preserve">, 2012 </w:t>
      </w:r>
      <w:r w:rsidR="00D77241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provides minorities with a right to </w:t>
      </w:r>
      <w:r w:rsidR="00B933A3">
        <w:rPr>
          <w:rFonts w:ascii="Times New Roman" w:hAnsi="Times New Roman" w:cs="Times New Roman"/>
          <w:sz w:val="23"/>
          <w:szCs w:val="23"/>
          <w:lang w:val="en-US"/>
        </w:rPr>
        <w:t xml:space="preserve">claim </w:t>
      </w:r>
      <w:r w:rsidR="00D77241" w:rsidRPr="00EF4488">
        <w:rPr>
          <w:rFonts w:ascii="Times New Roman" w:hAnsi="Times New Roman" w:cs="Times New Roman"/>
          <w:sz w:val="23"/>
          <w:szCs w:val="23"/>
          <w:lang w:val="en-US"/>
        </w:rPr>
        <w:t>to the Registrar of Companies if the affairs of the company are co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nducted in an oppressive manner or </w:t>
      </w:r>
      <w:r w:rsidR="00B933A3">
        <w:rPr>
          <w:rFonts w:ascii="Times New Roman" w:hAnsi="Times New Roman" w:cs="Times New Roman"/>
          <w:sz w:val="23"/>
          <w:szCs w:val="23"/>
          <w:lang w:val="en-US"/>
        </w:rPr>
        <w:t xml:space="preserve">request the 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court for redress if the company is conducted in a manner </w:t>
      </w:r>
      <w:r w:rsidR="00B933A3">
        <w:rPr>
          <w:rFonts w:ascii="Times New Roman" w:hAnsi="Times New Roman" w:cs="Times New Roman"/>
          <w:sz w:val="23"/>
          <w:szCs w:val="23"/>
          <w:lang w:val="en-US"/>
        </w:rPr>
        <w:t xml:space="preserve">which is prejudicial 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to their interest</w:t>
      </w:r>
      <w:r w:rsidR="00307BBA" w:rsidRPr="00EF4488">
        <w:rPr>
          <w:rFonts w:ascii="Times New Roman" w:hAnsi="Times New Roman" w:cs="Times New Roman"/>
          <w:sz w:val="23"/>
          <w:szCs w:val="23"/>
          <w:lang w:val="en-US"/>
        </w:rPr>
        <w:t>s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. </w:t>
      </w:r>
    </w:p>
    <w:p w14:paraId="4FFD3917" w14:textId="0D26B443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Is it possible in </w:t>
      </w:r>
      <w:r w:rsidR="00C10E14" w:rsidRPr="00F95CC7">
        <w:rPr>
          <w:rFonts w:ascii="Times New Roman" w:hAnsi="Times New Roman" w:cs="Times New Roman"/>
          <w:b/>
          <w:sz w:val="23"/>
          <w:szCs w:val="23"/>
          <w:lang w:val="en-US"/>
        </w:rPr>
        <w:t>U</w:t>
      </w:r>
      <w:r w:rsidR="001D35F2"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ganda 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to ensure minority shareholder</w:t>
      </w:r>
      <w:r w:rsidR="001D35F2" w:rsidRPr="00F95CC7">
        <w:rPr>
          <w:rFonts w:ascii="Times New Roman" w:hAnsi="Times New Roman" w:cs="Times New Roman"/>
          <w:b/>
          <w:sz w:val="23"/>
          <w:szCs w:val="23"/>
          <w:lang w:val="en-US"/>
        </w:rPr>
        <w:t>s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 control by means of a shareholders’ agreement?</w:t>
      </w:r>
    </w:p>
    <w:p w14:paraId="7D9F07AB" w14:textId="36504BD1" w:rsidR="001E70B2" w:rsidRPr="00EF4488" w:rsidRDefault="001E70B2" w:rsidP="00281925">
      <w:p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Yes</w:t>
      </w:r>
      <w:r w:rsidR="00C352DD">
        <w:rPr>
          <w:rFonts w:ascii="Times New Roman" w:hAnsi="Times New Roman" w:cs="Times New Roman"/>
          <w:sz w:val="23"/>
          <w:szCs w:val="23"/>
          <w:lang w:val="en-US"/>
        </w:rPr>
        <w:t>,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 it is possible</w:t>
      </w:r>
      <w:r w:rsidR="00C352DD">
        <w:rPr>
          <w:rFonts w:ascii="Times New Roman" w:hAnsi="Times New Roman" w:cs="Times New Roman"/>
          <w:sz w:val="23"/>
          <w:szCs w:val="23"/>
          <w:lang w:val="en-US"/>
        </w:rPr>
        <w:t xml:space="preserve"> to include in a shareholders’ agreement provisions that give the minority powers of control certain voting rights or decision-making rights. However, it is rare in practice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. </w:t>
      </w:r>
    </w:p>
    <w:p w14:paraId="58F615AB" w14:textId="5C0E1017" w:rsidR="00281925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What are the usual valuation mechanisms in connection with rights of first refusal or share transfer regulations?</w:t>
      </w:r>
    </w:p>
    <w:p w14:paraId="73AA2659" w14:textId="7856BEA1" w:rsidR="002267BF" w:rsidRPr="00EF4488" w:rsidRDefault="00C10E14" w:rsidP="001D35F2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It is fair market value. </w:t>
      </w:r>
    </w:p>
    <w:p w14:paraId="45D74FF6" w14:textId="044A8CBA" w:rsidR="001D35F2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Is it admissible for a shareholders’ agreement clause to refer dispute resolution to the courts other than those of </w:t>
      </w:r>
      <w:r w:rsidR="00C10E14" w:rsidRPr="00F95CC7">
        <w:rPr>
          <w:rFonts w:ascii="Times New Roman" w:hAnsi="Times New Roman" w:cs="Times New Roman"/>
          <w:b/>
          <w:sz w:val="23"/>
          <w:szCs w:val="23"/>
          <w:lang w:val="en-US"/>
        </w:rPr>
        <w:t>U</w:t>
      </w:r>
      <w:r w:rsidR="001D35F2" w:rsidRPr="00F95CC7">
        <w:rPr>
          <w:rFonts w:ascii="Times New Roman" w:hAnsi="Times New Roman" w:cs="Times New Roman"/>
          <w:b/>
          <w:sz w:val="23"/>
          <w:szCs w:val="23"/>
          <w:lang w:val="en-US"/>
        </w:rPr>
        <w:t>ganda</w:t>
      </w:r>
      <w:r w:rsidR="00C10E14"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 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and/or under a law other than that of </w:t>
      </w:r>
      <w:r w:rsidR="00C10E14" w:rsidRPr="00F95CC7">
        <w:rPr>
          <w:rFonts w:ascii="Times New Roman" w:hAnsi="Times New Roman" w:cs="Times New Roman"/>
          <w:b/>
          <w:sz w:val="23"/>
          <w:szCs w:val="23"/>
          <w:lang w:val="en-US"/>
        </w:rPr>
        <w:t>U</w:t>
      </w:r>
      <w:r w:rsidR="001D35F2" w:rsidRPr="00F95CC7">
        <w:rPr>
          <w:rFonts w:ascii="Times New Roman" w:hAnsi="Times New Roman" w:cs="Times New Roman"/>
          <w:b/>
          <w:sz w:val="23"/>
          <w:szCs w:val="23"/>
          <w:lang w:val="en-US"/>
        </w:rPr>
        <w:t>ganda?</w:t>
      </w:r>
    </w:p>
    <w:p w14:paraId="33A750F8" w14:textId="07C555F2" w:rsidR="001440BF" w:rsidRPr="00EF4488" w:rsidRDefault="001440BF" w:rsidP="001D35F2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Yes</w:t>
      </w:r>
      <w:r w:rsidR="00C10E14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, it is permissible. </w:t>
      </w:r>
    </w:p>
    <w:p w14:paraId="3DCB530F" w14:textId="4999FDE0" w:rsidR="00307BBA" w:rsidRPr="00F95CC7" w:rsidRDefault="00281925" w:rsidP="00F95CC7">
      <w:pPr>
        <w:pStyle w:val="Prrafodelista"/>
        <w:numPr>
          <w:ilvl w:val="0"/>
          <w:numId w:val="9"/>
        </w:numPr>
        <w:jc w:val="both"/>
        <w:rPr>
          <w:rFonts w:ascii="Times New Roman" w:hAnsi="Times New Roman" w:cs="Times New Roman"/>
          <w:b/>
          <w:sz w:val="23"/>
          <w:szCs w:val="23"/>
          <w:lang w:val="en-US"/>
        </w:rPr>
      </w:pP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Is it admissible for a shareholders’ agreement to include an arbitration clause with seat outside </w:t>
      </w:r>
      <w:r w:rsidR="00C10E14" w:rsidRPr="00F95CC7">
        <w:rPr>
          <w:rFonts w:ascii="Times New Roman" w:hAnsi="Times New Roman" w:cs="Times New Roman"/>
          <w:b/>
          <w:sz w:val="23"/>
          <w:szCs w:val="23"/>
          <w:lang w:val="en-US"/>
        </w:rPr>
        <w:t>U</w:t>
      </w:r>
      <w:r w:rsidR="001D35F2" w:rsidRPr="00F95CC7">
        <w:rPr>
          <w:rFonts w:ascii="Times New Roman" w:hAnsi="Times New Roman" w:cs="Times New Roman"/>
          <w:b/>
          <w:sz w:val="23"/>
          <w:szCs w:val="23"/>
          <w:lang w:val="en-US"/>
        </w:rPr>
        <w:t>ganda</w:t>
      </w:r>
      <w:r w:rsidR="00C10E14"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 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 xml:space="preserve">and/or under a law other than that of </w:t>
      </w:r>
      <w:r w:rsidR="006D160B" w:rsidRPr="00F95CC7">
        <w:rPr>
          <w:rFonts w:ascii="Times New Roman" w:hAnsi="Times New Roman" w:cs="Times New Roman"/>
          <w:b/>
          <w:sz w:val="23"/>
          <w:szCs w:val="23"/>
          <w:lang w:val="en-US"/>
        </w:rPr>
        <w:t>U</w:t>
      </w:r>
      <w:r w:rsidR="001D35F2" w:rsidRPr="00F95CC7">
        <w:rPr>
          <w:rFonts w:ascii="Times New Roman" w:hAnsi="Times New Roman" w:cs="Times New Roman"/>
          <w:b/>
          <w:sz w:val="23"/>
          <w:szCs w:val="23"/>
          <w:lang w:val="en-US"/>
        </w:rPr>
        <w:t>ganda</w:t>
      </w:r>
      <w:r w:rsidRPr="00F95CC7">
        <w:rPr>
          <w:rFonts w:ascii="Times New Roman" w:hAnsi="Times New Roman" w:cs="Times New Roman"/>
          <w:b/>
          <w:sz w:val="23"/>
          <w:szCs w:val="23"/>
          <w:lang w:val="en-US"/>
        </w:rPr>
        <w:t>?</w:t>
      </w:r>
    </w:p>
    <w:p w14:paraId="58B9507C" w14:textId="3C3E40D0" w:rsidR="001440BF" w:rsidRPr="00EF4488" w:rsidRDefault="001440BF" w:rsidP="001D35F2">
      <w:pPr>
        <w:jc w:val="both"/>
        <w:rPr>
          <w:rFonts w:ascii="Times New Roman" w:hAnsi="Times New Roman" w:cs="Times New Roman"/>
          <w:sz w:val="23"/>
          <w:szCs w:val="23"/>
          <w:lang w:val="en-US"/>
        </w:rPr>
      </w:pPr>
      <w:r w:rsidRPr="00EF4488">
        <w:rPr>
          <w:rFonts w:ascii="Times New Roman" w:hAnsi="Times New Roman" w:cs="Times New Roman"/>
          <w:sz w:val="23"/>
          <w:szCs w:val="23"/>
          <w:lang w:val="en-US"/>
        </w:rPr>
        <w:t>Yes</w:t>
      </w:r>
      <w:r w:rsidR="006D160B" w:rsidRPr="00EF4488">
        <w:rPr>
          <w:rFonts w:ascii="Times New Roman" w:hAnsi="Times New Roman" w:cs="Times New Roman"/>
          <w:sz w:val="23"/>
          <w:szCs w:val="23"/>
          <w:lang w:val="en-US"/>
        </w:rPr>
        <w:t xml:space="preserve">, </w:t>
      </w:r>
      <w:r w:rsidRPr="00EF4488">
        <w:rPr>
          <w:rFonts w:ascii="Times New Roman" w:hAnsi="Times New Roman" w:cs="Times New Roman"/>
          <w:sz w:val="23"/>
          <w:szCs w:val="23"/>
          <w:lang w:val="en-US"/>
        </w:rPr>
        <w:t>it is permissible.</w:t>
      </w:r>
    </w:p>
    <w:sectPr w:rsidR="001440BF" w:rsidRPr="00EF4488"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3BC22231" w15:done="0"/>
  <w15:commentEx w15:paraId="4A674DBD" w15:paraIdParent="3BC22231" w15:done="0"/>
  <w15:commentEx w15:paraId="597629ED" w15:done="0"/>
  <w15:commentEx w15:paraId="359F836A" w15:paraIdParent="597629ED" w15:done="0"/>
  <w15:commentEx w15:paraId="66C70D0A" w15:done="0"/>
  <w15:commentEx w15:paraId="3162ECC8" w15:paraIdParent="66C70D0A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04F9634" w14:textId="77777777" w:rsidR="00491567" w:rsidRDefault="00491567" w:rsidP="001D35F2">
      <w:pPr>
        <w:spacing w:after="0" w:line="240" w:lineRule="auto"/>
      </w:pPr>
      <w:r>
        <w:separator/>
      </w:r>
    </w:p>
  </w:endnote>
  <w:endnote w:type="continuationSeparator" w:id="0">
    <w:p w14:paraId="621A8E1E" w14:textId="77777777" w:rsidR="00491567" w:rsidRDefault="00491567" w:rsidP="001D35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ED5F4D" w14:textId="56CCA2EF" w:rsidR="001D35F2" w:rsidRPr="001D35F2" w:rsidRDefault="001D35F2">
    <w:pPr>
      <w:pStyle w:val="Piedepgina"/>
      <w:jc w:val="center"/>
      <w:rPr>
        <w:rFonts w:ascii="Times New Roman" w:hAnsi="Times New Roman" w:cs="Times New Roman"/>
        <w:b/>
        <w:sz w:val="20"/>
        <w:szCs w:val="20"/>
      </w:rPr>
    </w:pPr>
    <w:r w:rsidRPr="001D35F2">
      <w:rPr>
        <w:rFonts w:ascii="Times New Roman" w:hAnsi="Times New Roman" w:cs="Times New Roman"/>
        <w:b/>
        <w:sz w:val="20"/>
        <w:szCs w:val="20"/>
      </w:rPr>
      <w:t xml:space="preserve">Page </w:t>
    </w:r>
    <w:sdt>
      <w:sdtPr>
        <w:rPr>
          <w:rFonts w:ascii="Times New Roman" w:hAnsi="Times New Roman" w:cs="Times New Roman"/>
          <w:b/>
          <w:sz w:val="20"/>
          <w:szCs w:val="20"/>
        </w:rPr>
        <w:id w:val="155572409"/>
        <w:docPartObj>
          <w:docPartGallery w:val="Page Numbers (Bottom of Page)"/>
          <w:docPartUnique/>
        </w:docPartObj>
      </w:sdtPr>
      <w:sdtEndPr/>
      <w:sdtContent>
        <w:r w:rsidRPr="001D35F2">
          <w:rPr>
            <w:rFonts w:ascii="Times New Roman" w:hAnsi="Times New Roman" w:cs="Times New Roman"/>
            <w:b/>
            <w:sz w:val="20"/>
            <w:szCs w:val="20"/>
          </w:rPr>
          <w:fldChar w:fldCharType="begin"/>
        </w:r>
        <w:r w:rsidRPr="001D35F2">
          <w:rPr>
            <w:rFonts w:ascii="Times New Roman" w:hAnsi="Times New Roman" w:cs="Times New Roman"/>
            <w:b/>
            <w:sz w:val="20"/>
            <w:szCs w:val="20"/>
          </w:rPr>
          <w:instrText>PAGE   \* MERGEFORMAT</w:instrText>
        </w:r>
        <w:r w:rsidRPr="001D35F2">
          <w:rPr>
            <w:rFonts w:ascii="Times New Roman" w:hAnsi="Times New Roman" w:cs="Times New Roman"/>
            <w:b/>
            <w:sz w:val="20"/>
            <w:szCs w:val="20"/>
          </w:rPr>
          <w:fldChar w:fldCharType="separate"/>
        </w:r>
        <w:r w:rsidR="00C352DD">
          <w:rPr>
            <w:rFonts w:ascii="Times New Roman" w:hAnsi="Times New Roman" w:cs="Times New Roman"/>
            <w:b/>
            <w:noProof/>
            <w:sz w:val="20"/>
            <w:szCs w:val="20"/>
          </w:rPr>
          <w:t>2</w:t>
        </w:r>
        <w:r w:rsidRPr="001D35F2">
          <w:rPr>
            <w:rFonts w:ascii="Times New Roman" w:hAnsi="Times New Roman" w:cs="Times New Roman"/>
            <w:b/>
            <w:sz w:val="20"/>
            <w:szCs w:val="20"/>
          </w:rPr>
          <w:fldChar w:fldCharType="end"/>
        </w:r>
      </w:sdtContent>
    </w:sdt>
  </w:p>
  <w:p w14:paraId="17EAB8BE" w14:textId="77777777" w:rsidR="001D35F2" w:rsidRDefault="001D35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A216F7" w14:textId="77777777" w:rsidR="00491567" w:rsidRDefault="00491567" w:rsidP="001D35F2">
      <w:pPr>
        <w:spacing w:after="0" w:line="240" w:lineRule="auto"/>
      </w:pPr>
      <w:r>
        <w:separator/>
      </w:r>
    </w:p>
  </w:footnote>
  <w:footnote w:type="continuationSeparator" w:id="0">
    <w:p w14:paraId="46F17FD8" w14:textId="77777777" w:rsidR="00491567" w:rsidRDefault="00491567" w:rsidP="001D35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7B20A5"/>
    <w:multiLevelType w:val="hybridMultilevel"/>
    <w:tmpl w:val="200CD5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C1770C"/>
    <w:multiLevelType w:val="hybridMultilevel"/>
    <w:tmpl w:val="AA6A211E"/>
    <w:lvl w:ilvl="0" w:tplc="0409001B">
      <w:start w:val="1"/>
      <w:numFmt w:val="lowerRoman"/>
      <w:lvlText w:val="%1."/>
      <w:lvlJc w:val="right"/>
      <w:pPr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3CFA145E"/>
    <w:multiLevelType w:val="hybridMultilevel"/>
    <w:tmpl w:val="518A7536"/>
    <w:lvl w:ilvl="0" w:tplc="8A4E441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85507A"/>
    <w:multiLevelType w:val="hybridMultilevel"/>
    <w:tmpl w:val="CCD45F0A"/>
    <w:lvl w:ilvl="0" w:tplc="7A46657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2FD2D54"/>
    <w:multiLevelType w:val="hybridMultilevel"/>
    <w:tmpl w:val="49B05D7C"/>
    <w:lvl w:ilvl="0" w:tplc="8A4E441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D004A7"/>
    <w:multiLevelType w:val="hybridMultilevel"/>
    <w:tmpl w:val="1048FEB0"/>
    <w:lvl w:ilvl="0" w:tplc="8A4E441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4C1653"/>
    <w:multiLevelType w:val="hybridMultilevel"/>
    <w:tmpl w:val="4BC65E58"/>
    <w:lvl w:ilvl="0" w:tplc="D374C4D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2D313B"/>
    <w:multiLevelType w:val="hybridMultilevel"/>
    <w:tmpl w:val="D4CC25C6"/>
    <w:lvl w:ilvl="0" w:tplc="0C0A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102E8E"/>
    <w:multiLevelType w:val="hybridMultilevel"/>
    <w:tmpl w:val="518A7536"/>
    <w:lvl w:ilvl="0" w:tplc="8A4E441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612143"/>
    <w:multiLevelType w:val="hybridMultilevel"/>
    <w:tmpl w:val="048A942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8"/>
  </w:num>
  <w:num w:numId="5">
    <w:abstractNumId w:val="4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7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rian Kalule">
    <w15:presenceInfo w15:providerId="AD" w15:userId="S-1-5-21-461857503-214578414-312552118-2766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1925"/>
    <w:rsid w:val="001440BF"/>
    <w:rsid w:val="001D35F2"/>
    <w:rsid w:val="001E70B2"/>
    <w:rsid w:val="001F0201"/>
    <w:rsid w:val="002267BF"/>
    <w:rsid w:val="002544F5"/>
    <w:rsid w:val="0026278A"/>
    <w:rsid w:val="00281925"/>
    <w:rsid w:val="00292504"/>
    <w:rsid w:val="00307BBA"/>
    <w:rsid w:val="003445F2"/>
    <w:rsid w:val="00356F9D"/>
    <w:rsid w:val="003A7F2D"/>
    <w:rsid w:val="004843DB"/>
    <w:rsid w:val="00491567"/>
    <w:rsid w:val="004D3833"/>
    <w:rsid w:val="006241CD"/>
    <w:rsid w:val="00651C67"/>
    <w:rsid w:val="0067479B"/>
    <w:rsid w:val="006B4376"/>
    <w:rsid w:val="006D160B"/>
    <w:rsid w:val="007371F1"/>
    <w:rsid w:val="007A71A5"/>
    <w:rsid w:val="007E6135"/>
    <w:rsid w:val="00855D80"/>
    <w:rsid w:val="00954346"/>
    <w:rsid w:val="00965027"/>
    <w:rsid w:val="009670C5"/>
    <w:rsid w:val="00980F4A"/>
    <w:rsid w:val="009F4BFF"/>
    <w:rsid w:val="00A52B27"/>
    <w:rsid w:val="00B13820"/>
    <w:rsid w:val="00B43ABE"/>
    <w:rsid w:val="00B933A3"/>
    <w:rsid w:val="00BA79E8"/>
    <w:rsid w:val="00BC1067"/>
    <w:rsid w:val="00C10E14"/>
    <w:rsid w:val="00C352DD"/>
    <w:rsid w:val="00C65D8C"/>
    <w:rsid w:val="00C673C1"/>
    <w:rsid w:val="00CD44B2"/>
    <w:rsid w:val="00D41A81"/>
    <w:rsid w:val="00D53861"/>
    <w:rsid w:val="00D77241"/>
    <w:rsid w:val="00DA2B87"/>
    <w:rsid w:val="00E7604A"/>
    <w:rsid w:val="00EF4488"/>
    <w:rsid w:val="00F07286"/>
    <w:rsid w:val="00F367A0"/>
    <w:rsid w:val="00F61FE7"/>
    <w:rsid w:val="00F95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C01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65027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67479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7479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7479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479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479B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747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479B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1D35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D35F2"/>
  </w:style>
  <w:style w:type="paragraph" w:styleId="Piedepgina">
    <w:name w:val="footer"/>
    <w:basedOn w:val="Normal"/>
    <w:link w:val="PiedepginaCar"/>
    <w:uiPriority w:val="99"/>
    <w:unhideWhenUsed/>
    <w:rsid w:val="001D35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D35F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965027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67479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7479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7479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479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479B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747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479B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1D35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D35F2"/>
  </w:style>
  <w:style w:type="paragraph" w:styleId="Piedepgina">
    <w:name w:val="footer"/>
    <w:basedOn w:val="Normal"/>
    <w:link w:val="PiedepginaCar"/>
    <w:uiPriority w:val="99"/>
    <w:unhideWhenUsed/>
    <w:rsid w:val="001D35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D35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FD50E7-5FBD-4FA9-B260-0C1B7D8B1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826</Words>
  <Characters>4549</Characters>
  <Application>Microsoft Office Word</Application>
  <DocSecurity>0</DocSecurity>
  <Lines>37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Perez-Llorca</Company>
  <LinksUpToDate>false</LinksUpToDate>
  <CharactersWithSpaces>5365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Eloi Núñez-Romero</dc:creator>
  <cp:lastModifiedBy>Julia Fuentes</cp:lastModifiedBy>
  <cp:revision>2</cp:revision>
  <dcterms:created xsi:type="dcterms:W3CDTF">2018-08-15T15:44:00Z</dcterms:created>
  <dcterms:modified xsi:type="dcterms:W3CDTF">2018-08-15T15:44:00Z</dcterms:modified>
</cp:coreProperties>
</file>