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507F" w:rsidRPr="00C3477F" w:rsidRDefault="00DC39D2" w:rsidP="004508BF">
      <w:pPr>
        <w:spacing w:before="205"/>
        <w:ind w:left="-851"/>
        <w:jc w:val="center"/>
        <w:rPr>
          <w:b/>
          <w:sz w:val="28"/>
          <w:szCs w:val="28"/>
        </w:rPr>
      </w:pPr>
      <w:r w:rsidRPr="00C3477F">
        <w:rPr>
          <w:b/>
          <w:sz w:val="28"/>
          <w:szCs w:val="28"/>
        </w:rPr>
        <w:t>IBA Guide on Shareholders’ Agreements</w:t>
      </w:r>
    </w:p>
    <w:p w:rsidR="009C507F" w:rsidRPr="00C3477F" w:rsidRDefault="009C507F" w:rsidP="004508BF">
      <w:pPr>
        <w:pStyle w:val="BodyText"/>
        <w:spacing w:before="5"/>
        <w:jc w:val="center"/>
        <w:rPr>
          <w:b/>
          <w:sz w:val="23"/>
          <w:szCs w:val="23"/>
        </w:rPr>
      </w:pPr>
    </w:p>
    <w:p w:rsidR="009C507F" w:rsidRPr="00C3477F" w:rsidRDefault="00DC39D2" w:rsidP="004508BF">
      <w:pPr>
        <w:pStyle w:val="Heading1"/>
        <w:ind w:left="2589" w:right="3712" w:firstLine="0"/>
        <w:jc w:val="center"/>
        <w:rPr>
          <w:sz w:val="23"/>
          <w:szCs w:val="23"/>
        </w:rPr>
      </w:pPr>
      <w:r w:rsidRPr="00C3477F">
        <w:rPr>
          <w:sz w:val="23"/>
          <w:szCs w:val="23"/>
        </w:rPr>
        <w:t>Japan</w:t>
      </w:r>
    </w:p>
    <w:p w:rsidR="009C507F" w:rsidRPr="00C3477F" w:rsidRDefault="009C507F" w:rsidP="004508BF">
      <w:pPr>
        <w:pStyle w:val="BodyText"/>
        <w:spacing w:before="6"/>
        <w:jc w:val="center"/>
        <w:rPr>
          <w:b/>
          <w:sz w:val="23"/>
          <w:szCs w:val="23"/>
        </w:rPr>
      </w:pPr>
    </w:p>
    <w:p w:rsidR="009C507F" w:rsidRPr="00C3477F" w:rsidRDefault="00DC39D2" w:rsidP="004508BF">
      <w:pPr>
        <w:pStyle w:val="BodyText"/>
        <w:spacing w:before="1"/>
        <w:ind w:left="2589" w:right="3720"/>
        <w:jc w:val="center"/>
        <w:rPr>
          <w:sz w:val="23"/>
          <w:szCs w:val="23"/>
        </w:rPr>
      </w:pPr>
      <w:proofErr w:type="spellStart"/>
      <w:r w:rsidRPr="00C3477F">
        <w:rPr>
          <w:sz w:val="23"/>
          <w:szCs w:val="23"/>
        </w:rPr>
        <w:t>Yuichiro</w:t>
      </w:r>
      <w:proofErr w:type="spellEnd"/>
      <w:r w:rsidRPr="00C3477F">
        <w:rPr>
          <w:sz w:val="23"/>
          <w:szCs w:val="23"/>
        </w:rPr>
        <w:t xml:space="preserve"> NUKADA/Raku </w:t>
      </w:r>
      <w:proofErr w:type="spellStart"/>
      <w:r w:rsidRPr="00C3477F">
        <w:rPr>
          <w:sz w:val="23"/>
          <w:szCs w:val="23"/>
        </w:rPr>
        <w:t>RAKU</w:t>
      </w:r>
      <w:proofErr w:type="spellEnd"/>
      <w:r w:rsidRPr="00C3477F">
        <w:rPr>
          <w:sz w:val="23"/>
          <w:szCs w:val="23"/>
        </w:rPr>
        <w:t xml:space="preserve"> Anderson Mori &amp; </w:t>
      </w:r>
      <w:proofErr w:type="spellStart"/>
      <w:r w:rsidRPr="00C3477F">
        <w:rPr>
          <w:sz w:val="23"/>
          <w:szCs w:val="23"/>
        </w:rPr>
        <w:t>Tomotsune</w:t>
      </w:r>
      <w:proofErr w:type="spellEnd"/>
    </w:p>
    <w:p w:rsidR="009C507F" w:rsidRPr="00C3477F" w:rsidRDefault="009C507F">
      <w:pPr>
        <w:pStyle w:val="BodyText"/>
        <w:spacing w:before="9"/>
        <w:rPr>
          <w:sz w:val="23"/>
          <w:szCs w:val="23"/>
        </w:rPr>
      </w:pPr>
    </w:p>
    <w:p w:rsidR="009C507F" w:rsidRPr="00C3477F" w:rsidRDefault="00DC39D2">
      <w:pPr>
        <w:pStyle w:val="Heading1"/>
        <w:numPr>
          <w:ilvl w:val="0"/>
          <w:numId w:val="2"/>
        </w:numPr>
        <w:tabs>
          <w:tab w:val="left" w:pos="839"/>
        </w:tabs>
        <w:ind w:right="0"/>
        <w:jc w:val="left"/>
        <w:rPr>
          <w:sz w:val="23"/>
          <w:szCs w:val="23"/>
        </w:rPr>
      </w:pPr>
      <w:r w:rsidRPr="00C3477F">
        <w:rPr>
          <w:spacing w:val="-3"/>
          <w:sz w:val="23"/>
          <w:szCs w:val="23"/>
        </w:rPr>
        <w:t xml:space="preserve">Are shareholders’ agreements frequent </w:t>
      </w:r>
      <w:r w:rsidRPr="00C3477F">
        <w:rPr>
          <w:sz w:val="23"/>
          <w:szCs w:val="23"/>
        </w:rPr>
        <w:t>in</w:t>
      </w:r>
      <w:r w:rsidRPr="00C3477F">
        <w:rPr>
          <w:spacing w:val="-15"/>
          <w:sz w:val="23"/>
          <w:szCs w:val="23"/>
        </w:rPr>
        <w:t xml:space="preserve"> </w:t>
      </w:r>
      <w:r w:rsidRPr="00C3477F">
        <w:rPr>
          <w:sz w:val="23"/>
          <w:szCs w:val="23"/>
        </w:rPr>
        <w:t>Japan?</w:t>
      </w:r>
    </w:p>
    <w:p w:rsidR="009C507F" w:rsidRPr="00C3477F" w:rsidRDefault="009C507F">
      <w:pPr>
        <w:pStyle w:val="BodyText"/>
        <w:spacing w:before="11"/>
        <w:rPr>
          <w:b/>
          <w:sz w:val="23"/>
          <w:szCs w:val="23"/>
        </w:rPr>
      </w:pPr>
    </w:p>
    <w:p w:rsidR="009C507F" w:rsidRPr="00C3477F" w:rsidRDefault="00DC39D2">
      <w:pPr>
        <w:pStyle w:val="BodyText"/>
        <w:ind w:left="118" w:right="1245"/>
        <w:jc w:val="both"/>
        <w:rPr>
          <w:sz w:val="23"/>
          <w:szCs w:val="23"/>
        </w:rPr>
      </w:pPr>
      <w:r w:rsidRPr="00C3477F">
        <w:rPr>
          <w:spacing w:val="-3"/>
          <w:sz w:val="23"/>
          <w:szCs w:val="23"/>
        </w:rPr>
        <w:t xml:space="preserve">Shareholders’ agreements </w:t>
      </w:r>
      <w:proofErr w:type="gramStart"/>
      <w:r w:rsidRPr="00C3477F">
        <w:rPr>
          <w:sz w:val="23"/>
          <w:szCs w:val="23"/>
        </w:rPr>
        <w:t xml:space="preserve">are </w:t>
      </w:r>
      <w:r w:rsidRPr="00C3477F">
        <w:rPr>
          <w:spacing w:val="-3"/>
          <w:sz w:val="23"/>
          <w:szCs w:val="23"/>
        </w:rPr>
        <w:t xml:space="preserve">frequently </w:t>
      </w:r>
      <w:r w:rsidRPr="00C3477F">
        <w:rPr>
          <w:sz w:val="23"/>
          <w:szCs w:val="23"/>
        </w:rPr>
        <w:t>used</w:t>
      </w:r>
      <w:proofErr w:type="gramEnd"/>
      <w:r w:rsidRPr="00C3477F">
        <w:rPr>
          <w:sz w:val="23"/>
          <w:szCs w:val="23"/>
        </w:rPr>
        <w:t xml:space="preserve"> in </w:t>
      </w:r>
      <w:r w:rsidRPr="00C3477F">
        <w:rPr>
          <w:spacing w:val="-3"/>
          <w:sz w:val="23"/>
          <w:szCs w:val="23"/>
        </w:rPr>
        <w:t xml:space="preserve">Japan. </w:t>
      </w:r>
      <w:r w:rsidRPr="00C3477F">
        <w:rPr>
          <w:sz w:val="23"/>
          <w:szCs w:val="23"/>
        </w:rPr>
        <w:t xml:space="preserve">Even </w:t>
      </w:r>
      <w:r w:rsidRPr="00C3477F">
        <w:rPr>
          <w:spacing w:val="-3"/>
          <w:sz w:val="23"/>
          <w:szCs w:val="23"/>
        </w:rPr>
        <w:t xml:space="preserve">though </w:t>
      </w:r>
      <w:r w:rsidRPr="00C3477F">
        <w:rPr>
          <w:sz w:val="23"/>
          <w:szCs w:val="23"/>
        </w:rPr>
        <w:t xml:space="preserve">they </w:t>
      </w:r>
      <w:proofErr w:type="gramStart"/>
      <w:r w:rsidRPr="00C3477F">
        <w:rPr>
          <w:sz w:val="23"/>
          <w:szCs w:val="23"/>
        </w:rPr>
        <w:t xml:space="preserve">are </w:t>
      </w:r>
      <w:r w:rsidRPr="00C3477F">
        <w:rPr>
          <w:spacing w:val="-3"/>
          <w:sz w:val="23"/>
          <w:szCs w:val="23"/>
        </w:rPr>
        <w:t xml:space="preserve">sometimes </w:t>
      </w:r>
      <w:r w:rsidRPr="00C3477F">
        <w:rPr>
          <w:sz w:val="23"/>
          <w:szCs w:val="23"/>
        </w:rPr>
        <w:t>entered into</w:t>
      </w:r>
      <w:proofErr w:type="gramEnd"/>
      <w:r w:rsidRPr="00C3477F">
        <w:rPr>
          <w:sz w:val="23"/>
          <w:szCs w:val="23"/>
        </w:rPr>
        <w:t xml:space="preserve"> </w:t>
      </w:r>
      <w:r w:rsidRPr="00C3477F">
        <w:rPr>
          <w:spacing w:val="-3"/>
          <w:sz w:val="23"/>
          <w:szCs w:val="23"/>
        </w:rPr>
        <w:t xml:space="preserve">between shareholders </w:t>
      </w:r>
      <w:r w:rsidRPr="00C3477F">
        <w:rPr>
          <w:sz w:val="23"/>
          <w:szCs w:val="23"/>
        </w:rPr>
        <w:t xml:space="preserve">of </w:t>
      </w:r>
      <w:r w:rsidRPr="00C3477F">
        <w:rPr>
          <w:spacing w:val="-3"/>
          <w:sz w:val="23"/>
          <w:szCs w:val="23"/>
        </w:rPr>
        <w:t xml:space="preserve">public companies, shareholders’ agreements </w:t>
      </w:r>
      <w:r w:rsidRPr="00C3477F">
        <w:rPr>
          <w:sz w:val="23"/>
          <w:szCs w:val="23"/>
        </w:rPr>
        <w:t xml:space="preserve">are </w:t>
      </w:r>
      <w:r w:rsidRPr="00C3477F">
        <w:rPr>
          <w:spacing w:val="-3"/>
          <w:sz w:val="23"/>
          <w:szCs w:val="23"/>
        </w:rPr>
        <w:t xml:space="preserve">mostly </w:t>
      </w:r>
      <w:r w:rsidRPr="00C3477F">
        <w:rPr>
          <w:sz w:val="23"/>
          <w:szCs w:val="23"/>
        </w:rPr>
        <w:t xml:space="preserve">used in a </w:t>
      </w:r>
      <w:r w:rsidRPr="00C3477F">
        <w:rPr>
          <w:spacing w:val="-3"/>
          <w:sz w:val="23"/>
          <w:szCs w:val="23"/>
        </w:rPr>
        <w:t>private company</w:t>
      </w:r>
      <w:r w:rsidRPr="00C3477F">
        <w:rPr>
          <w:spacing w:val="-29"/>
          <w:sz w:val="23"/>
          <w:szCs w:val="23"/>
        </w:rPr>
        <w:t xml:space="preserve"> </w:t>
      </w:r>
      <w:r w:rsidRPr="00C3477F">
        <w:rPr>
          <w:spacing w:val="-3"/>
          <w:sz w:val="23"/>
          <w:szCs w:val="23"/>
        </w:rPr>
        <w:t>context.</w:t>
      </w:r>
    </w:p>
    <w:p w:rsidR="009C507F" w:rsidRPr="00C3477F" w:rsidRDefault="009C507F">
      <w:pPr>
        <w:pStyle w:val="BodyText"/>
        <w:spacing w:before="7"/>
        <w:rPr>
          <w:sz w:val="23"/>
          <w:szCs w:val="23"/>
        </w:rPr>
      </w:pPr>
    </w:p>
    <w:p w:rsidR="009C507F" w:rsidRPr="00C3477F" w:rsidRDefault="00DC39D2">
      <w:pPr>
        <w:pStyle w:val="Heading1"/>
        <w:numPr>
          <w:ilvl w:val="0"/>
          <w:numId w:val="2"/>
        </w:numPr>
        <w:tabs>
          <w:tab w:val="left" w:pos="839"/>
        </w:tabs>
        <w:ind w:right="1245"/>
        <w:jc w:val="left"/>
        <w:rPr>
          <w:sz w:val="23"/>
          <w:szCs w:val="23"/>
        </w:rPr>
      </w:pPr>
      <w:r w:rsidRPr="00C3477F">
        <w:rPr>
          <w:sz w:val="23"/>
          <w:szCs w:val="23"/>
        </w:rPr>
        <w:t xml:space="preserve">What </w:t>
      </w:r>
      <w:r w:rsidRPr="00C3477F">
        <w:rPr>
          <w:spacing w:val="-3"/>
          <w:sz w:val="23"/>
          <w:szCs w:val="23"/>
        </w:rPr>
        <w:t xml:space="preserve">formalities must shareholders’ </w:t>
      </w:r>
      <w:proofErr w:type="gramStart"/>
      <w:r w:rsidRPr="00C3477F">
        <w:rPr>
          <w:spacing w:val="-3"/>
          <w:sz w:val="23"/>
          <w:szCs w:val="23"/>
        </w:rPr>
        <w:t>agreements  comply</w:t>
      </w:r>
      <w:proofErr w:type="gramEnd"/>
      <w:r w:rsidRPr="00C3477F">
        <w:rPr>
          <w:spacing w:val="-3"/>
          <w:sz w:val="23"/>
          <w:szCs w:val="23"/>
        </w:rPr>
        <w:t xml:space="preserve"> </w:t>
      </w:r>
      <w:r w:rsidRPr="00C3477F">
        <w:rPr>
          <w:sz w:val="23"/>
          <w:szCs w:val="23"/>
        </w:rPr>
        <w:t>with in</w:t>
      </w:r>
      <w:r w:rsidRPr="00C3477F">
        <w:rPr>
          <w:spacing w:val="-13"/>
          <w:sz w:val="23"/>
          <w:szCs w:val="23"/>
        </w:rPr>
        <w:t xml:space="preserve"> </w:t>
      </w:r>
      <w:bookmarkStart w:id="0" w:name="_GoBack"/>
      <w:bookmarkEnd w:id="0"/>
      <w:r w:rsidRPr="00C3477F">
        <w:rPr>
          <w:spacing w:val="-3"/>
          <w:sz w:val="23"/>
          <w:szCs w:val="23"/>
        </w:rPr>
        <w:t>Japan?</w:t>
      </w:r>
    </w:p>
    <w:p w:rsidR="009C507F" w:rsidRPr="00C3477F" w:rsidRDefault="009C507F">
      <w:pPr>
        <w:pStyle w:val="BodyText"/>
        <w:spacing w:before="11"/>
        <w:rPr>
          <w:b/>
          <w:sz w:val="23"/>
          <w:szCs w:val="23"/>
        </w:rPr>
      </w:pPr>
    </w:p>
    <w:p w:rsidR="009C507F" w:rsidRPr="00C3477F" w:rsidRDefault="00DC39D2">
      <w:pPr>
        <w:pStyle w:val="BodyText"/>
        <w:ind w:left="118"/>
        <w:rPr>
          <w:sz w:val="23"/>
          <w:szCs w:val="23"/>
        </w:rPr>
      </w:pPr>
      <w:r w:rsidRPr="00C3477F">
        <w:rPr>
          <w:sz w:val="23"/>
          <w:szCs w:val="23"/>
        </w:rPr>
        <w:t>There are no formal requirements under Japanese laws for shareholders’ agreements.</w:t>
      </w:r>
    </w:p>
    <w:p w:rsidR="009C507F" w:rsidRPr="00C3477F" w:rsidRDefault="009C507F">
      <w:pPr>
        <w:pStyle w:val="BodyText"/>
        <w:spacing w:before="9"/>
        <w:rPr>
          <w:sz w:val="23"/>
          <w:szCs w:val="23"/>
        </w:rPr>
      </w:pPr>
    </w:p>
    <w:p w:rsidR="009C507F" w:rsidRPr="00C3477F" w:rsidRDefault="00DC39D2">
      <w:pPr>
        <w:pStyle w:val="Heading1"/>
        <w:numPr>
          <w:ilvl w:val="0"/>
          <w:numId w:val="2"/>
        </w:numPr>
        <w:tabs>
          <w:tab w:val="left" w:pos="839"/>
        </w:tabs>
        <w:jc w:val="left"/>
        <w:rPr>
          <w:sz w:val="23"/>
          <w:szCs w:val="23"/>
        </w:rPr>
      </w:pPr>
      <w:proofErr w:type="gramStart"/>
      <w:r w:rsidRPr="00C3477F">
        <w:rPr>
          <w:spacing w:val="-2"/>
          <w:sz w:val="23"/>
          <w:szCs w:val="23"/>
        </w:rPr>
        <w:t xml:space="preserve">Can </w:t>
      </w:r>
      <w:r w:rsidRPr="00C3477F">
        <w:rPr>
          <w:spacing w:val="-3"/>
          <w:sz w:val="23"/>
          <w:szCs w:val="23"/>
        </w:rPr>
        <w:t xml:space="preserve">shareholders’ agreements </w:t>
      </w:r>
      <w:r w:rsidRPr="00C3477F">
        <w:rPr>
          <w:sz w:val="23"/>
          <w:szCs w:val="23"/>
        </w:rPr>
        <w:t>be brought</w:t>
      </w:r>
      <w:proofErr w:type="gramEnd"/>
      <w:r w:rsidRPr="00C3477F">
        <w:rPr>
          <w:sz w:val="23"/>
          <w:szCs w:val="23"/>
        </w:rPr>
        <w:t xml:space="preserve"> to bear </w:t>
      </w:r>
      <w:r w:rsidRPr="00C3477F">
        <w:rPr>
          <w:spacing w:val="-3"/>
          <w:sz w:val="23"/>
          <w:szCs w:val="23"/>
        </w:rPr>
        <w:t xml:space="preserve">against third parties </w:t>
      </w:r>
      <w:r w:rsidRPr="00C3477F">
        <w:rPr>
          <w:sz w:val="23"/>
          <w:szCs w:val="23"/>
        </w:rPr>
        <w:t xml:space="preserve">such as </w:t>
      </w:r>
      <w:r w:rsidRPr="00C3477F">
        <w:rPr>
          <w:spacing w:val="-3"/>
          <w:sz w:val="23"/>
          <w:szCs w:val="23"/>
        </w:rPr>
        <w:t xml:space="preserve">purchasers </w:t>
      </w:r>
      <w:r w:rsidRPr="00C3477F">
        <w:rPr>
          <w:sz w:val="23"/>
          <w:szCs w:val="23"/>
        </w:rPr>
        <w:t xml:space="preserve">of </w:t>
      </w:r>
      <w:r w:rsidRPr="00C3477F">
        <w:rPr>
          <w:spacing w:val="-3"/>
          <w:sz w:val="23"/>
          <w:szCs w:val="23"/>
        </w:rPr>
        <w:t xml:space="preserve">shares </w:t>
      </w:r>
      <w:r w:rsidRPr="00C3477F">
        <w:rPr>
          <w:sz w:val="23"/>
          <w:szCs w:val="23"/>
        </w:rPr>
        <w:t>or</w:t>
      </w:r>
      <w:r w:rsidRPr="00C3477F">
        <w:rPr>
          <w:spacing w:val="-27"/>
          <w:sz w:val="23"/>
          <w:szCs w:val="23"/>
        </w:rPr>
        <w:t xml:space="preserve"> </w:t>
      </w:r>
      <w:r w:rsidRPr="00C3477F">
        <w:rPr>
          <w:spacing w:val="-3"/>
          <w:sz w:val="23"/>
          <w:szCs w:val="23"/>
        </w:rPr>
        <w:t>successors?</w:t>
      </w:r>
    </w:p>
    <w:p w:rsidR="009C507F" w:rsidRPr="00C3477F" w:rsidRDefault="009C507F">
      <w:pPr>
        <w:pStyle w:val="BodyText"/>
        <w:spacing w:before="10"/>
        <w:rPr>
          <w:b/>
          <w:sz w:val="23"/>
          <w:szCs w:val="23"/>
        </w:rPr>
      </w:pPr>
    </w:p>
    <w:p w:rsidR="009C507F" w:rsidRPr="00C3477F" w:rsidRDefault="00DC39D2">
      <w:pPr>
        <w:pStyle w:val="BodyText"/>
        <w:ind w:left="118" w:right="1244"/>
        <w:jc w:val="both"/>
        <w:rPr>
          <w:sz w:val="23"/>
          <w:szCs w:val="23"/>
        </w:rPr>
      </w:pPr>
      <w:proofErr w:type="gramStart"/>
      <w:r w:rsidRPr="00C3477F">
        <w:rPr>
          <w:sz w:val="23"/>
          <w:szCs w:val="23"/>
        </w:rPr>
        <w:t>In general, shareholders’ agreements only create a contractual relationship between their parties and thus are only binding upon these parties.</w:t>
      </w:r>
      <w:proofErr w:type="gramEnd"/>
      <w:r w:rsidRPr="00C3477F">
        <w:rPr>
          <w:sz w:val="23"/>
          <w:szCs w:val="23"/>
        </w:rPr>
        <w:t xml:space="preserve"> </w:t>
      </w:r>
      <w:proofErr w:type="gramStart"/>
      <w:r w:rsidRPr="00C3477F">
        <w:rPr>
          <w:sz w:val="23"/>
          <w:szCs w:val="23"/>
        </w:rPr>
        <w:t>Therefore</w:t>
      </w:r>
      <w:proofErr w:type="gramEnd"/>
      <w:r w:rsidRPr="00C3477F">
        <w:rPr>
          <w:sz w:val="23"/>
          <w:szCs w:val="23"/>
        </w:rPr>
        <w:t xml:space="preserve"> purchasers of shares and their successors are not bound by such shareholders’ agreements if they do not become a party to them. Shareholders’ agreements, however, often contain a clause stipulating that a party can only transfer its shares if the potential acquirer undertakes to take over the rights, obligations and position of the transferring party under the shareholders’ agreement at the time the shares </w:t>
      </w:r>
      <w:proofErr w:type="gramStart"/>
      <w:r w:rsidRPr="00C3477F">
        <w:rPr>
          <w:sz w:val="23"/>
          <w:szCs w:val="23"/>
        </w:rPr>
        <w:t>are transferred</w:t>
      </w:r>
      <w:proofErr w:type="gramEnd"/>
      <w:r w:rsidRPr="00C3477F">
        <w:rPr>
          <w:sz w:val="23"/>
          <w:szCs w:val="23"/>
        </w:rPr>
        <w:t xml:space="preserve">. While this creates only a contractual obligation on the transferring shareholder, the position of the remaining shareholders can be strengthened by stipulating in the articles of association of the company that any share transfer </w:t>
      </w:r>
      <w:proofErr w:type="gramStart"/>
      <w:r w:rsidRPr="00C3477F">
        <w:rPr>
          <w:sz w:val="23"/>
          <w:szCs w:val="23"/>
        </w:rPr>
        <w:t>requires</w:t>
      </w:r>
      <w:proofErr w:type="gramEnd"/>
      <w:r w:rsidRPr="00C3477F">
        <w:rPr>
          <w:sz w:val="23"/>
          <w:szCs w:val="23"/>
        </w:rPr>
        <w:t xml:space="preserve"> approval at a shareholders</w:t>
      </w:r>
      <w:r w:rsidRPr="00C3477F">
        <w:rPr>
          <w:spacing w:val="-3"/>
          <w:sz w:val="23"/>
          <w:szCs w:val="23"/>
        </w:rPr>
        <w:t xml:space="preserve"> </w:t>
      </w:r>
      <w:r w:rsidRPr="00C3477F">
        <w:rPr>
          <w:sz w:val="23"/>
          <w:szCs w:val="23"/>
        </w:rPr>
        <w:t>meeting.</w:t>
      </w:r>
    </w:p>
    <w:p w:rsidR="009C507F" w:rsidRPr="00C3477F" w:rsidRDefault="009C507F">
      <w:pPr>
        <w:pStyle w:val="BodyText"/>
        <w:spacing w:before="4"/>
        <w:rPr>
          <w:sz w:val="23"/>
          <w:szCs w:val="23"/>
        </w:rPr>
      </w:pPr>
    </w:p>
    <w:p w:rsidR="009C507F" w:rsidRPr="00C3477F" w:rsidRDefault="00DC39D2">
      <w:pPr>
        <w:pStyle w:val="Heading1"/>
        <w:numPr>
          <w:ilvl w:val="0"/>
          <w:numId w:val="2"/>
        </w:numPr>
        <w:tabs>
          <w:tab w:val="left" w:pos="839"/>
          <w:tab w:val="left" w:pos="1563"/>
          <w:tab w:val="left" w:pos="1934"/>
          <w:tab w:val="left" w:pos="3775"/>
          <w:tab w:val="left" w:pos="5246"/>
          <w:tab w:val="left" w:pos="6448"/>
        </w:tabs>
        <w:jc w:val="left"/>
        <w:rPr>
          <w:sz w:val="23"/>
          <w:szCs w:val="23"/>
        </w:rPr>
      </w:pPr>
      <w:r w:rsidRPr="00C3477F">
        <w:rPr>
          <w:spacing w:val="-2"/>
          <w:sz w:val="23"/>
          <w:szCs w:val="23"/>
        </w:rPr>
        <w:t>Can</w:t>
      </w:r>
      <w:r w:rsidRPr="00C3477F">
        <w:rPr>
          <w:spacing w:val="-2"/>
          <w:sz w:val="23"/>
          <w:szCs w:val="23"/>
        </w:rPr>
        <w:tab/>
      </w:r>
      <w:r w:rsidRPr="00C3477F">
        <w:rPr>
          <w:sz w:val="23"/>
          <w:szCs w:val="23"/>
        </w:rPr>
        <w:t>a</w:t>
      </w:r>
      <w:r w:rsidRPr="00C3477F">
        <w:rPr>
          <w:sz w:val="23"/>
          <w:szCs w:val="23"/>
        </w:rPr>
        <w:tab/>
      </w:r>
      <w:r w:rsidRPr="00C3477F">
        <w:rPr>
          <w:spacing w:val="-3"/>
          <w:sz w:val="23"/>
          <w:szCs w:val="23"/>
        </w:rPr>
        <w:t>shareholders’</w:t>
      </w:r>
      <w:r w:rsidRPr="00C3477F">
        <w:rPr>
          <w:spacing w:val="-3"/>
          <w:sz w:val="23"/>
          <w:szCs w:val="23"/>
        </w:rPr>
        <w:tab/>
        <w:t>agreement</w:t>
      </w:r>
      <w:r w:rsidRPr="00C3477F">
        <w:rPr>
          <w:spacing w:val="-3"/>
          <w:sz w:val="23"/>
          <w:szCs w:val="23"/>
        </w:rPr>
        <w:tab/>
      </w:r>
      <w:r w:rsidRPr="00C3477F">
        <w:rPr>
          <w:sz w:val="23"/>
          <w:szCs w:val="23"/>
        </w:rPr>
        <w:t>regulate</w:t>
      </w:r>
      <w:r w:rsidRPr="00C3477F">
        <w:rPr>
          <w:sz w:val="23"/>
          <w:szCs w:val="23"/>
        </w:rPr>
        <w:tab/>
      </w:r>
      <w:r w:rsidRPr="00C3477F">
        <w:rPr>
          <w:spacing w:val="-3"/>
          <w:sz w:val="23"/>
          <w:szCs w:val="23"/>
        </w:rPr>
        <w:t>non-company contents?</w:t>
      </w:r>
    </w:p>
    <w:p w:rsidR="009C507F" w:rsidRPr="00C3477F" w:rsidRDefault="009C507F">
      <w:pPr>
        <w:pStyle w:val="BodyText"/>
        <w:spacing w:before="10"/>
        <w:rPr>
          <w:b/>
          <w:sz w:val="23"/>
          <w:szCs w:val="23"/>
        </w:rPr>
      </w:pPr>
    </w:p>
    <w:p w:rsidR="009C507F" w:rsidRPr="00C3477F" w:rsidRDefault="00DC39D2">
      <w:pPr>
        <w:spacing w:before="1"/>
        <w:ind w:left="118" w:right="1243"/>
        <w:jc w:val="both"/>
        <w:rPr>
          <w:sz w:val="23"/>
          <w:szCs w:val="23"/>
        </w:rPr>
      </w:pPr>
      <w:r w:rsidRPr="00C3477F">
        <w:rPr>
          <w:sz w:val="23"/>
          <w:szCs w:val="23"/>
        </w:rPr>
        <w:t>Japanese laws do not prevent shareholders’ agreements from regulating non-company contents.</w:t>
      </w:r>
    </w:p>
    <w:p w:rsidR="009C507F" w:rsidRPr="00C3477F" w:rsidRDefault="009C507F">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9C507F" w:rsidRPr="00C3477F" w:rsidRDefault="009C507F">
      <w:pPr>
        <w:pStyle w:val="BodyText"/>
        <w:rPr>
          <w:sz w:val="23"/>
          <w:szCs w:val="23"/>
        </w:rPr>
      </w:pPr>
    </w:p>
    <w:p w:rsidR="009C507F" w:rsidRPr="00C3477F" w:rsidRDefault="00DC39D2">
      <w:pPr>
        <w:pStyle w:val="ListParagraph"/>
        <w:numPr>
          <w:ilvl w:val="0"/>
          <w:numId w:val="2"/>
        </w:numPr>
        <w:tabs>
          <w:tab w:val="left" w:pos="1972"/>
        </w:tabs>
        <w:spacing w:before="205" w:line="242" w:lineRule="auto"/>
        <w:ind w:left="1971" w:right="110"/>
        <w:jc w:val="left"/>
        <w:rPr>
          <w:b/>
          <w:sz w:val="23"/>
          <w:szCs w:val="23"/>
        </w:rPr>
      </w:pPr>
      <w:r w:rsidRPr="00C3477F">
        <w:rPr>
          <w:b/>
          <w:spacing w:val="-3"/>
          <w:sz w:val="23"/>
          <w:szCs w:val="23"/>
        </w:rPr>
        <w:t xml:space="preserve">Are there limits </w:t>
      </w:r>
      <w:r w:rsidRPr="00C3477F">
        <w:rPr>
          <w:b/>
          <w:sz w:val="23"/>
          <w:szCs w:val="23"/>
        </w:rPr>
        <w:t xml:space="preserve">on the </w:t>
      </w:r>
      <w:r w:rsidRPr="00C3477F">
        <w:rPr>
          <w:b/>
          <w:spacing w:val="-3"/>
          <w:sz w:val="23"/>
          <w:szCs w:val="23"/>
        </w:rPr>
        <w:t xml:space="preserve">term </w:t>
      </w:r>
      <w:r w:rsidRPr="00C3477F">
        <w:rPr>
          <w:b/>
          <w:sz w:val="23"/>
          <w:szCs w:val="23"/>
        </w:rPr>
        <w:t xml:space="preserve">of </w:t>
      </w:r>
      <w:r w:rsidRPr="00C3477F">
        <w:rPr>
          <w:b/>
          <w:spacing w:val="-3"/>
          <w:sz w:val="23"/>
          <w:szCs w:val="23"/>
        </w:rPr>
        <w:t xml:space="preserve">shareholders’ agreements under </w:t>
      </w:r>
      <w:r w:rsidRPr="00C3477F">
        <w:rPr>
          <w:b/>
          <w:sz w:val="23"/>
          <w:szCs w:val="23"/>
        </w:rPr>
        <w:t xml:space="preserve">the </w:t>
      </w:r>
      <w:r w:rsidRPr="00C3477F">
        <w:rPr>
          <w:b/>
          <w:spacing w:val="-2"/>
          <w:sz w:val="23"/>
          <w:szCs w:val="23"/>
        </w:rPr>
        <w:t xml:space="preserve">law </w:t>
      </w:r>
      <w:r w:rsidRPr="00C3477F">
        <w:rPr>
          <w:b/>
          <w:sz w:val="23"/>
          <w:szCs w:val="23"/>
        </w:rPr>
        <w:t>of</w:t>
      </w:r>
      <w:r w:rsidRPr="00C3477F">
        <w:rPr>
          <w:b/>
          <w:spacing w:val="-15"/>
          <w:sz w:val="23"/>
          <w:szCs w:val="23"/>
        </w:rPr>
        <w:t xml:space="preserve"> </w:t>
      </w:r>
      <w:r w:rsidRPr="00C3477F">
        <w:rPr>
          <w:b/>
          <w:spacing w:val="-3"/>
          <w:sz w:val="23"/>
          <w:szCs w:val="23"/>
        </w:rPr>
        <w:t>Japan?</w:t>
      </w:r>
    </w:p>
    <w:p w:rsidR="009C507F" w:rsidRPr="00C3477F" w:rsidRDefault="009C507F">
      <w:pPr>
        <w:pStyle w:val="BodyText"/>
        <w:spacing w:before="6"/>
        <w:rPr>
          <w:b/>
          <w:sz w:val="23"/>
          <w:szCs w:val="23"/>
        </w:rPr>
      </w:pPr>
    </w:p>
    <w:p w:rsidR="009C507F" w:rsidRPr="00C3477F" w:rsidRDefault="00DC39D2">
      <w:pPr>
        <w:spacing w:before="1"/>
        <w:ind w:left="1251"/>
        <w:jc w:val="both"/>
        <w:rPr>
          <w:sz w:val="23"/>
          <w:szCs w:val="23"/>
        </w:rPr>
      </w:pPr>
      <w:r w:rsidRPr="00C3477F">
        <w:rPr>
          <w:sz w:val="23"/>
          <w:szCs w:val="23"/>
        </w:rPr>
        <w:t>There is no limit on the term of shareholders’ agreements under Japanese laws.</w:t>
      </w:r>
    </w:p>
    <w:p w:rsidR="009C507F" w:rsidRPr="00C3477F" w:rsidRDefault="009C507F">
      <w:pPr>
        <w:pStyle w:val="BodyText"/>
        <w:spacing w:before="2"/>
        <w:rPr>
          <w:sz w:val="23"/>
          <w:szCs w:val="23"/>
        </w:rPr>
      </w:pPr>
    </w:p>
    <w:p w:rsidR="009C507F" w:rsidRPr="00C3477F" w:rsidRDefault="00DC39D2">
      <w:pPr>
        <w:pStyle w:val="ListParagraph"/>
        <w:numPr>
          <w:ilvl w:val="0"/>
          <w:numId w:val="2"/>
        </w:numPr>
        <w:tabs>
          <w:tab w:val="left" w:pos="1972"/>
        </w:tabs>
        <w:spacing w:before="1"/>
        <w:ind w:left="1971" w:right="223"/>
        <w:jc w:val="left"/>
        <w:rPr>
          <w:b/>
          <w:sz w:val="23"/>
          <w:szCs w:val="23"/>
        </w:rPr>
      </w:pPr>
      <w:proofErr w:type="gramStart"/>
      <w:r w:rsidRPr="00C3477F">
        <w:rPr>
          <w:b/>
          <w:spacing w:val="-3"/>
          <w:sz w:val="23"/>
          <w:szCs w:val="23"/>
        </w:rPr>
        <w:t xml:space="preserve">Are shareholders’ agreements related </w:t>
      </w:r>
      <w:r w:rsidRPr="00C3477F">
        <w:rPr>
          <w:b/>
          <w:sz w:val="23"/>
          <w:szCs w:val="23"/>
        </w:rPr>
        <w:t xml:space="preserve">to </w:t>
      </w:r>
      <w:r w:rsidRPr="00C3477F">
        <w:rPr>
          <w:b/>
          <w:spacing w:val="-3"/>
          <w:sz w:val="23"/>
          <w:szCs w:val="23"/>
        </w:rPr>
        <w:t xml:space="preserve">actions by directors </w:t>
      </w:r>
      <w:r w:rsidRPr="00C3477F">
        <w:rPr>
          <w:b/>
          <w:sz w:val="23"/>
          <w:szCs w:val="23"/>
        </w:rPr>
        <w:t>valid in</w:t>
      </w:r>
      <w:r w:rsidRPr="00C3477F">
        <w:rPr>
          <w:b/>
          <w:spacing w:val="-13"/>
          <w:sz w:val="23"/>
          <w:szCs w:val="23"/>
        </w:rPr>
        <w:t xml:space="preserve"> </w:t>
      </w:r>
      <w:r w:rsidRPr="00C3477F">
        <w:rPr>
          <w:b/>
          <w:spacing w:val="-3"/>
          <w:sz w:val="23"/>
          <w:szCs w:val="23"/>
        </w:rPr>
        <w:t>Japan</w:t>
      </w:r>
      <w:proofErr w:type="gramEnd"/>
      <w:r w:rsidRPr="00C3477F">
        <w:rPr>
          <w:b/>
          <w:spacing w:val="-3"/>
          <w:sz w:val="23"/>
          <w:szCs w:val="23"/>
        </w:rPr>
        <w:t>?</w:t>
      </w:r>
    </w:p>
    <w:p w:rsidR="009C507F" w:rsidRPr="00C3477F" w:rsidRDefault="009C507F">
      <w:pPr>
        <w:pStyle w:val="BodyText"/>
        <w:spacing w:before="10"/>
        <w:rPr>
          <w:b/>
          <w:sz w:val="23"/>
          <w:szCs w:val="23"/>
        </w:rPr>
      </w:pPr>
    </w:p>
    <w:p w:rsidR="009C507F" w:rsidRPr="00C3477F" w:rsidRDefault="00DC39D2">
      <w:pPr>
        <w:pStyle w:val="BodyText"/>
        <w:ind w:left="1251" w:right="111"/>
        <w:jc w:val="both"/>
        <w:rPr>
          <w:sz w:val="23"/>
          <w:szCs w:val="23"/>
        </w:rPr>
      </w:pPr>
      <w:r w:rsidRPr="00C3477F">
        <w:rPr>
          <w:sz w:val="23"/>
          <w:szCs w:val="23"/>
        </w:rPr>
        <w:t xml:space="preserve">Under Japanese law, provisions in shareholders’ agreements related to actions by directors are in principle valid. However, since shareholders’ agreements are only binding on the parties thereto, these provisions will not be (directly) binding on the directors and will not be enforceable against third parties (unless they are parties to the agreement). What is possible, however, and what </w:t>
      </w:r>
      <w:proofErr w:type="gramStart"/>
      <w:r w:rsidRPr="00C3477F">
        <w:rPr>
          <w:sz w:val="23"/>
          <w:szCs w:val="23"/>
        </w:rPr>
        <w:t>is often found</w:t>
      </w:r>
      <w:proofErr w:type="gramEnd"/>
      <w:r w:rsidRPr="00C3477F">
        <w:rPr>
          <w:sz w:val="23"/>
          <w:szCs w:val="23"/>
        </w:rPr>
        <w:t xml:space="preserve"> in agreements amongst shareholders who in aggregate own the majority or all of the shares in the company is an obligation of the parties to exercise their shareholder rights in a </w:t>
      </w:r>
      <w:r w:rsidRPr="00C3477F">
        <w:rPr>
          <w:spacing w:val="-2"/>
          <w:sz w:val="23"/>
          <w:szCs w:val="23"/>
        </w:rPr>
        <w:t xml:space="preserve">way </w:t>
      </w:r>
      <w:r w:rsidRPr="00C3477F">
        <w:rPr>
          <w:sz w:val="23"/>
          <w:szCs w:val="23"/>
        </w:rPr>
        <w:t>to cause the directors to take or omit certain actions.</w:t>
      </w:r>
    </w:p>
    <w:p w:rsidR="009C507F" w:rsidRPr="00C3477F" w:rsidRDefault="009C507F">
      <w:pPr>
        <w:pStyle w:val="BodyText"/>
        <w:spacing w:before="10"/>
        <w:rPr>
          <w:sz w:val="23"/>
          <w:szCs w:val="23"/>
        </w:rPr>
      </w:pPr>
    </w:p>
    <w:p w:rsidR="009C507F" w:rsidRPr="00C3477F" w:rsidRDefault="00DC39D2">
      <w:pPr>
        <w:pStyle w:val="Heading1"/>
        <w:numPr>
          <w:ilvl w:val="0"/>
          <w:numId w:val="2"/>
        </w:numPr>
        <w:tabs>
          <w:tab w:val="left" w:pos="1972"/>
        </w:tabs>
        <w:ind w:left="1971" w:right="822"/>
        <w:jc w:val="left"/>
        <w:rPr>
          <w:sz w:val="23"/>
          <w:szCs w:val="23"/>
        </w:rPr>
      </w:pPr>
      <w:r w:rsidRPr="00C3477F">
        <w:rPr>
          <w:spacing w:val="-3"/>
          <w:sz w:val="23"/>
          <w:szCs w:val="23"/>
        </w:rPr>
        <w:t xml:space="preserve">Does </w:t>
      </w:r>
      <w:r w:rsidRPr="00C3477F">
        <w:rPr>
          <w:sz w:val="23"/>
          <w:szCs w:val="23"/>
        </w:rPr>
        <w:t xml:space="preserve">the </w:t>
      </w:r>
      <w:r w:rsidRPr="00C3477F">
        <w:rPr>
          <w:spacing w:val="-2"/>
          <w:sz w:val="23"/>
          <w:szCs w:val="23"/>
        </w:rPr>
        <w:t xml:space="preserve">law </w:t>
      </w:r>
      <w:r w:rsidRPr="00C3477F">
        <w:rPr>
          <w:sz w:val="23"/>
          <w:szCs w:val="23"/>
        </w:rPr>
        <w:t xml:space="preserve">of </w:t>
      </w:r>
      <w:r w:rsidRPr="00C3477F">
        <w:rPr>
          <w:spacing w:val="-3"/>
          <w:sz w:val="23"/>
          <w:szCs w:val="23"/>
        </w:rPr>
        <w:t xml:space="preserve">Japan permit restrictions </w:t>
      </w:r>
      <w:r w:rsidRPr="00C3477F">
        <w:rPr>
          <w:sz w:val="23"/>
          <w:szCs w:val="23"/>
        </w:rPr>
        <w:t xml:space="preserve">on </w:t>
      </w:r>
      <w:r w:rsidRPr="00C3477F">
        <w:rPr>
          <w:spacing w:val="-3"/>
          <w:sz w:val="23"/>
          <w:szCs w:val="23"/>
        </w:rPr>
        <w:t xml:space="preserve">transfer </w:t>
      </w:r>
      <w:r w:rsidRPr="00C3477F">
        <w:rPr>
          <w:sz w:val="23"/>
          <w:szCs w:val="23"/>
        </w:rPr>
        <w:t xml:space="preserve">of </w:t>
      </w:r>
      <w:r w:rsidRPr="00C3477F">
        <w:rPr>
          <w:spacing w:val="-3"/>
          <w:sz w:val="23"/>
          <w:szCs w:val="23"/>
        </w:rPr>
        <w:t>shares?</w:t>
      </w:r>
    </w:p>
    <w:p w:rsidR="009C507F" w:rsidRPr="00C3477F" w:rsidRDefault="009C507F">
      <w:pPr>
        <w:pStyle w:val="BodyText"/>
        <w:spacing w:before="10"/>
        <w:rPr>
          <w:b/>
          <w:sz w:val="23"/>
          <w:szCs w:val="23"/>
        </w:rPr>
      </w:pPr>
    </w:p>
    <w:p w:rsidR="009C507F" w:rsidRPr="00C3477F" w:rsidRDefault="00DC39D2">
      <w:pPr>
        <w:pStyle w:val="BodyText"/>
        <w:ind w:left="1251" w:right="113"/>
        <w:jc w:val="both"/>
        <w:rPr>
          <w:sz w:val="23"/>
          <w:szCs w:val="23"/>
        </w:rPr>
      </w:pPr>
      <w:r w:rsidRPr="00C3477F">
        <w:rPr>
          <w:sz w:val="23"/>
          <w:szCs w:val="23"/>
        </w:rPr>
        <w:t>Under Japanese laws, in principle, shares are freely transferable (Art. 127 of the Companies Act), but restrictions on the transfer of shares in private companies are permitted (Art. 107 Para. 1 Item 1 of the Companies Act).</w:t>
      </w:r>
    </w:p>
    <w:p w:rsidR="009C507F" w:rsidRPr="00C3477F" w:rsidRDefault="009C507F">
      <w:pPr>
        <w:pStyle w:val="BodyText"/>
        <w:spacing w:before="5"/>
        <w:rPr>
          <w:sz w:val="23"/>
          <w:szCs w:val="23"/>
        </w:rPr>
      </w:pPr>
    </w:p>
    <w:p w:rsidR="009C507F" w:rsidRPr="00C3477F" w:rsidRDefault="00DC39D2">
      <w:pPr>
        <w:pStyle w:val="Heading1"/>
        <w:numPr>
          <w:ilvl w:val="0"/>
          <w:numId w:val="2"/>
        </w:numPr>
        <w:tabs>
          <w:tab w:val="left" w:pos="1972"/>
        </w:tabs>
        <w:ind w:left="1971" w:right="1283"/>
        <w:jc w:val="left"/>
        <w:rPr>
          <w:sz w:val="23"/>
          <w:szCs w:val="23"/>
        </w:rPr>
      </w:pPr>
      <w:r w:rsidRPr="00C3477F">
        <w:rPr>
          <w:sz w:val="23"/>
          <w:szCs w:val="23"/>
        </w:rPr>
        <w:t xml:space="preserve">What </w:t>
      </w:r>
      <w:r w:rsidRPr="00C3477F">
        <w:rPr>
          <w:spacing w:val="-3"/>
          <w:sz w:val="23"/>
          <w:szCs w:val="23"/>
        </w:rPr>
        <w:t xml:space="preserve">mechanisms </w:t>
      </w:r>
      <w:r w:rsidRPr="00C3477F">
        <w:rPr>
          <w:sz w:val="23"/>
          <w:szCs w:val="23"/>
        </w:rPr>
        <w:t xml:space="preserve">does the </w:t>
      </w:r>
      <w:r w:rsidRPr="00C3477F">
        <w:rPr>
          <w:spacing w:val="-2"/>
          <w:sz w:val="23"/>
          <w:szCs w:val="23"/>
        </w:rPr>
        <w:t xml:space="preserve">law </w:t>
      </w:r>
      <w:r w:rsidRPr="00C3477F">
        <w:rPr>
          <w:sz w:val="23"/>
          <w:szCs w:val="23"/>
        </w:rPr>
        <w:t xml:space="preserve">of </w:t>
      </w:r>
      <w:r w:rsidRPr="00C3477F">
        <w:rPr>
          <w:spacing w:val="-3"/>
          <w:sz w:val="23"/>
          <w:szCs w:val="23"/>
        </w:rPr>
        <w:t>Japan permit</w:t>
      </w:r>
      <w:r w:rsidRPr="00C3477F">
        <w:rPr>
          <w:spacing w:val="-43"/>
          <w:sz w:val="23"/>
          <w:szCs w:val="23"/>
        </w:rPr>
        <w:t xml:space="preserve"> </w:t>
      </w:r>
      <w:r w:rsidRPr="00C3477F">
        <w:rPr>
          <w:sz w:val="23"/>
          <w:szCs w:val="23"/>
        </w:rPr>
        <w:t xml:space="preserve">for </w:t>
      </w:r>
      <w:r w:rsidRPr="00C3477F">
        <w:rPr>
          <w:spacing w:val="-3"/>
          <w:sz w:val="23"/>
          <w:szCs w:val="23"/>
        </w:rPr>
        <w:t>regulating share</w:t>
      </w:r>
      <w:r w:rsidRPr="00C3477F">
        <w:rPr>
          <w:spacing w:val="-8"/>
          <w:sz w:val="23"/>
          <w:szCs w:val="23"/>
        </w:rPr>
        <w:t xml:space="preserve"> </w:t>
      </w:r>
      <w:r w:rsidRPr="00C3477F">
        <w:rPr>
          <w:spacing w:val="-3"/>
          <w:sz w:val="23"/>
          <w:szCs w:val="23"/>
        </w:rPr>
        <w:t>transfers?</w:t>
      </w:r>
    </w:p>
    <w:p w:rsidR="009C507F" w:rsidRPr="00C3477F" w:rsidRDefault="009C507F">
      <w:pPr>
        <w:pStyle w:val="BodyText"/>
        <w:spacing w:before="10"/>
        <w:rPr>
          <w:b/>
          <w:sz w:val="23"/>
          <w:szCs w:val="23"/>
        </w:rPr>
      </w:pPr>
    </w:p>
    <w:p w:rsidR="009C507F" w:rsidRPr="00C3477F" w:rsidRDefault="00DC39D2">
      <w:pPr>
        <w:pStyle w:val="BodyText"/>
        <w:spacing w:before="1"/>
        <w:ind w:left="1251" w:right="112"/>
        <w:jc w:val="both"/>
        <w:rPr>
          <w:sz w:val="23"/>
          <w:szCs w:val="23"/>
        </w:rPr>
      </w:pPr>
      <w:r w:rsidRPr="00C3477F">
        <w:rPr>
          <w:sz w:val="23"/>
          <w:szCs w:val="23"/>
        </w:rPr>
        <w:t xml:space="preserve">The Companies Act of Japan stipulates that companies are able to put restrictions on the transfer of shares such that a transfer requires approval at the shareholders’ meeting or meeting of the board of directors (or other corporate body), if such restrictions are incorporated in the articles of association (Art. 107 Para. 2 Item 1). The restrictions have to </w:t>
      </w:r>
      <w:proofErr w:type="gramStart"/>
      <w:r w:rsidRPr="00C3477F">
        <w:rPr>
          <w:sz w:val="23"/>
          <w:szCs w:val="23"/>
        </w:rPr>
        <w:t>be registered</w:t>
      </w:r>
      <w:proofErr w:type="gramEnd"/>
      <w:r w:rsidRPr="00C3477F">
        <w:rPr>
          <w:sz w:val="23"/>
          <w:szCs w:val="23"/>
        </w:rPr>
        <w:t xml:space="preserve"> in the commercial register (Art. 911 Para. 3 Item 7).</w:t>
      </w:r>
    </w:p>
    <w:p w:rsidR="009C507F" w:rsidRPr="00C3477F" w:rsidRDefault="009C507F">
      <w:pPr>
        <w:pStyle w:val="BodyText"/>
        <w:spacing w:before="10"/>
        <w:rPr>
          <w:sz w:val="23"/>
          <w:szCs w:val="23"/>
        </w:rPr>
      </w:pPr>
    </w:p>
    <w:p w:rsidR="009C507F" w:rsidRPr="00C3477F" w:rsidRDefault="00DC39D2">
      <w:pPr>
        <w:pStyle w:val="BodyText"/>
        <w:spacing w:before="1"/>
        <w:ind w:left="1251" w:right="112"/>
        <w:jc w:val="both"/>
        <w:rPr>
          <w:sz w:val="23"/>
          <w:szCs w:val="23"/>
        </w:rPr>
      </w:pPr>
      <w:r w:rsidRPr="00C3477F">
        <w:rPr>
          <w:sz w:val="23"/>
          <w:szCs w:val="23"/>
        </w:rPr>
        <w:t>In addition to the abovementioned restrictions stipulated by the Companies Act, as a matter of practice, shareholders usually include some kind of contractual restrictions on the transfer of shares (i.e., the other party’s consent, a lock-up period, a right of first refusal, etc.) in shareholders’ agreement. Violating the contractual restrictions in the shareholders’ agreement, however, is only a matter between the parties to the shareholders’ agreement. A third party transferee can still become a shareholder even though the transferring party breaches the contractual restrictions on the transfer of shares in the shareholders’ agreement.</w:t>
      </w:r>
    </w:p>
    <w:p w:rsidR="00DC39D2" w:rsidRPr="00C3477F" w:rsidRDefault="00DC39D2">
      <w:pPr>
        <w:pStyle w:val="BodyText"/>
        <w:spacing w:before="1"/>
        <w:ind w:left="1251" w:right="112"/>
        <w:jc w:val="both"/>
        <w:rPr>
          <w:sz w:val="23"/>
          <w:szCs w:val="23"/>
        </w:rPr>
      </w:pPr>
    </w:p>
    <w:p w:rsidR="00DC39D2" w:rsidRPr="00C3477F" w:rsidRDefault="00DC39D2">
      <w:pPr>
        <w:pStyle w:val="BodyText"/>
        <w:spacing w:before="1"/>
        <w:ind w:left="1251" w:right="112"/>
        <w:jc w:val="both"/>
        <w:rPr>
          <w:sz w:val="23"/>
          <w:szCs w:val="23"/>
        </w:rPr>
      </w:pPr>
    </w:p>
    <w:p w:rsidR="009C507F" w:rsidRPr="00C3477F" w:rsidRDefault="009C507F">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DC39D2" w:rsidRPr="00C3477F" w:rsidRDefault="00DC39D2">
      <w:pPr>
        <w:pStyle w:val="BodyText"/>
        <w:rPr>
          <w:sz w:val="23"/>
          <w:szCs w:val="23"/>
        </w:rPr>
      </w:pPr>
    </w:p>
    <w:p w:rsidR="009C507F" w:rsidRPr="00C3477F" w:rsidRDefault="009C507F">
      <w:pPr>
        <w:pStyle w:val="BodyText"/>
        <w:rPr>
          <w:sz w:val="23"/>
          <w:szCs w:val="23"/>
        </w:rPr>
      </w:pPr>
    </w:p>
    <w:p w:rsidR="009C507F" w:rsidRPr="00C3477F" w:rsidRDefault="00DC39D2">
      <w:pPr>
        <w:pStyle w:val="Heading1"/>
        <w:numPr>
          <w:ilvl w:val="0"/>
          <w:numId w:val="2"/>
        </w:numPr>
        <w:tabs>
          <w:tab w:val="left" w:pos="839"/>
        </w:tabs>
        <w:spacing w:before="205" w:line="242" w:lineRule="auto"/>
        <w:ind w:right="1350"/>
        <w:jc w:val="left"/>
        <w:rPr>
          <w:sz w:val="23"/>
          <w:szCs w:val="23"/>
        </w:rPr>
      </w:pPr>
      <w:r w:rsidRPr="00C3477F">
        <w:rPr>
          <w:sz w:val="23"/>
          <w:szCs w:val="23"/>
        </w:rPr>
        <w:t xml:space="preserve">In Japan </w:t>
      </w:r>
      <w:r w:rsidRPr="00C3477F">
        <w:rPr>
          <w:spacing w:val="-3"/>
          <w:sz w:val="23"/>
          <w:szCs w:val="23"/>
        </w:rPr>
        <w:t xml:space="preserve">do bylaws tend </w:t>
      </w:r>
      <w:r w:rsidRPr="00C3477F">
        <w:rPr>
          <w:sz w:val="23"/>
          <w:szCs w:val="23"/>
        </w:rPr>
        <w:t xml:space="preserve">to be </w:t>
      </w:r>
      <w:r w:rsidRPr="00C3477F">
        <w:rPr>
          <w:spacing w:val="-3"/>
          <w:sz w:val="23"/>
          <w:szCs w:val="23"/>
        </w:rPr>
        <w:t xml:space="preserve">tailor-drafted, </w:t>
      </w:r>
      <w:r w:rsidRPr="00C3477F">
        <w:rPr>
          <w:sz w:val="23"/>
          <w:szCs w:val="23"/>
        </w:rPr>
        <w:t xml:space="preserve">or do </w:t>
      </w:r>
      <w:r w:rsidRPr="00C3477F">
        <w:rPr>
          <w:spacing w:val="-3"/>
          <w:sz w:val="23"/>
          <w:szCs w:val="23"/>
        </w:rPr>
        <w:t xml:space="preserve">they tend </w:t>
      </w:r>
      <w:r w:rsidRPr="00C3477F">
        <w:rPr>
          <w:sz w:val="23"/>
          <w:szCs w:val="23"/>
        </w:rPr>
        <w:t xml:space="preserve">to use </w:t>
      </w:r>
      <w:r w:rsidRPr="00C3477F">
        <w:rPr>
          <w:spacing w:val="-3"/>
          <w:sz w:val="23"/>
          <w:szCs w:val="23"/>
        </w:rPr>
        <w:t>standard</w:t>
      </w:r>
      <w:r w:rsidRPr="00C3477F">
        <w:rPr>
          <w:spacing w:val="-16"/>
          <w:sz w:val="23"/>
          <w:szCs w:val="23"/>
        </w:rPr>
        <w:t xml:space="preserve"> </w:t>
      </w:r>
      <w:r w:rsidRPr="00C3477F">
        <w:rPr>
          <w:spacing w:val="-3"/>
          <w:sz w:val="23"/>
          <w:szCs w:val="23"/>
        </w:rPr>
        <w:t>formats?</w:t>
      </w:r>
    </w:p>
    <w:p w:rsidR="009C507F" w:rsidRPr="00C3477F" w:rsidRDefault="009C507F">
      <w:pPr>
        <w:pStyle w:val="BodyText"/>
        <w:spacing w:before="6"/>
        <w:rPr>
          <w:b/>
          <w:sz w:val="23"/>
          <w:szCs w:val="23"/>
        </w:rPr>
      </w:pPr>
    </w:p>
    <w:p w:rsidR="009C507F" w:rsidRPr="00C3477F" w:rsidRDefault="00DC39D2">
      <w:pPr>
        <w:pStyle w:val="BodyText"/>
        <w:ind w:left="118" w:right="1246"/>
        <w:jc w:val="both"/>
        <w:rPr>
          <w:sz w:val="23"/>
          <w:szCs w:val="23"/>
        </w:rPr>
      </w:pPr>
      <w:r w:rsidRPr="00C3477F">
        <w:rPr>
          <w:sz w:val="23"/>
          <w:szCs w:val="23"/>
        </w:rPr>
        <w:lastRenderedPageBreak/>
        <w:t xml:space="preserve">In Japan, bylaws are not required for establishing and operating a company. Only </w:t>
      </w:r>
      <w:proofErr w:type="spellStart"/>
      <w:r w:rsidRPr="00C3477F">
        <w:rPr>
          <w:sz w:val="23"/>
          <w:szCs w:val="23"/>
        </w:rPr>
        <w:t>ariticles</w:t>
      </w:r>
      <w:proofErr w:type="spellEnd"/>
      <w:r w:rsidRPr="00C3477F">
        <w:rPr>
          <w:sz w:val="23"/>
          <w:szCs w:val="23"/>
        </w:rPr>
        <w:t xml:space="preserve"> of association are necessary for those purposes. Standard formats </w:t>
      </w:r>
      <w:proofErr w:type="gramStart"/>
      <w:r w:rsidRPr="00C3477F">
        <w:rPr>
          <w:sz w:val="23"/>
          <w:szCs w:val="23"/>
        </w:rPr>
        <w:t>are usually used</w:t>
      </w:r>
      <w:proofErr w:type="gramEnd"/>
      <w:r w:rsidRPr="00C3477F">
        <w:rPr>
          <w:sz w:val="23"/>
          <w:szCs w:val="23"/>
        </w:rPr>
        <w:t xml:space="preserve"> as a basis for the articles of association but are tailored to </w:t>
      </w:r>
      <w:proofErr w:type="spellStart"/>
      <w:r w:rsidRPr="00C3477F">
        <w:rPr>
          <w:sz w:val="23"/>
          <w:szCs w:val="23"/>
        </w:rPr>
        <w:t>satisify</w:t>
      </w:r>
      <w:proofErr w:type="spellEnd"/>
      <w:r w:rsidRPr="00C3477F">
        <w:rPr>
          <w:sz w:val="23"/>
          <w:szCs w:val="23"/>
        </w:rPr>
        <w:t xml:space="preserve"> specific needs and requests of the shareholders to the extent permitted under the Companies Act.</w:t>
      </w:r>
    </w:p>
    <w:p w:rsidR="009C507F" w:rsidRPr="00C3477F" w:rsidRDefault="009C507F">
      <w:pPr>
        <w:pStyle w:val="BodyText"/>
        <w:spacing w:before="7"/>
        <w:rPr>
          <w:sz w:val="23"/>
          <w:szCs w:val="23"/>
        </w:rPr>
      </w:pPr>
    </w:p>
    <w:p w:rsidR="009C507F" w:rsidRPr="00C3477F" w:rsidRDefault="00DC39D2">
      <w:pPr>
        <w:pStyle w:val="Heading1"/>
        <w:numPr>
          <w:ilvl w:val="0"/>
          <w:numId w:val="2"/>
        </w:numPr>
        <w:tabs>
          <w:tab w:val="left" w:pos="839"/>
        </w:tabs>
        <w:spacing w:line="242" w:lineRule="auto"/>
        <w:ind w:right="1574"/>
        <w:jc w:val="left"/>
        <w:rPr>
          <w:sz w:val="23"/>
          <w:szCs w:val="23"/>
        </w:rPr>
      </w:pPr>
      <w:r w:rsidRPr="00C3477F">
        <w:rPr>
          <w:sz w:val="23"/>
          <w:szCs w:val="23"/>
        </w:rPr>
        <w:t xml:space="preserve">What are the </w:t>
      </w:r>
      <w:r w:rsidRPr="00C3477F">
        <w:rPr>
          <w:spacing w:val="-3"/>
          <w:sz w:val="23"/>
          <w:szCs w:val="23"/>
        </w:rPr>
        <w:t xml:space="preserve">motives </w:t>
      </w:r>
      <w:r w:rsidRPr="00C3477F">
        <w:rPr>
          <w:sz w:val="23"/>
          <w:szCs w:val="23"/>
        </w:rPr>
        <w:t xml:space="preserve">in </w:t>
      </w:r>
      <w:r w:rsidRPr="00C3477F">
        <w:rPr>
          <w:spacing w:val="-3"/>
          <w:sz w:val="23"/>
          <w:szCs w:val="23"/>
        </w:rPr>
        <w:t xml:space="preserve">Japan </w:t>
      </w:r>
      <w:r w:rsidRPr="00C3477F">
        <w:rPr>
          <w:sz w:val="23"/>
          <w:szCs w:val="23"/>
        </w:rPr>
        <w:t xml:space="preserve">for </w:t>
      </w:r>
      <w:r w:rsidRPr="00C3477F">
        <w:rPr>
          <w:spacing w:val="-3"/>
          <w:sz w:val="23"/>
          <w:szCs w:val="23"/>
        </w:rPr>
        <w:t>executing shareholders’ agreements?</w:t>
      </w:r>
    </w:p>
    <w:p w:rsidR="009C507F" w:rsidRPr="00C3477F" w:rsidRDefault="009C507F">
      <w:pPr>
        <w:pStyle w:val="BodyText"/>
        <w:spacing w:before="6"/>
        <w:rPr>
          <w:b/>
          <w:sz w:val="23"/>
          <w:szCs w:val="23"/>
        </w:rPr>
      </w:pPr>
    </w:p>
    <w:p w:rsidR="009C507F" w:rsidRPr="00C3477F" w:rsidRDefault="00DC39D2">
      <w:pPr>
        <w:spacing w:before="1"/>
        <w:ind w:left="118" w:right="1245"/>
        <w:jc w:val="both"/>
        <w:rPr>
          <w:sz w:val="23"/>
          <w:szCs w:val="23"/>
        </w:rPr>
      </w:pPr>
      <w:r w:rsidRPr="00C3477F">
        <w:rPr>
          <w:sz w:val="23"/>
          <w:szCs w:val="23"/>
        </w:rPr>
        <w:t xml:space="preserve">There are various reasons why a shareholders’ agreement </w:t>
      </w:r>
      <w:proofErr w:type="gramStart"/>
      <w:r w:rsidRPr="00C3477F">
        <w:rPr>
          <w:sz w:val="23"/>
          <w:szCs w:val="23"/>
        </w:rPr>
        <w:t>may be executed</w:t>
      </w:r>
      <w:proofErr w:type="gramEnd"/>
      <w:r w:rsidRPr="00C3477F">
        <w:rPr>
          <w:sz w:val="23"/>
          <w:szCs w:val="23"/>
        </w:rPr>
        <w:t xml:space="preserve"> in Japan. The main purpose of shareholders’ agreements is to take, retain and </w:t>
      </w:r>
      <w:proofErr w:type="gramStart"/>
      <w:r w:rsidRPr="00C3477F">
        <w:rPr>
          <w:sz w:val="23"/>
          <w:szCs w:val="23"/>
        </w:rPr>
        <w:t>organize  effective</w:t>
      </w:r>
      <w:proofErr w:type="gramEnd"/>
      <w:r w:rsidRPr="00C3477F">
        <w:rPr>
          <w:sz w:val="23"/>
          <w:szCs w:val="23"/>
        </w:rPr>
        <w:t xml:space="preserve"> control over the company. Under the Companies Act, many default rules regarding governance of the companies </w:t>
      </w:r>
      <w:proofErr w:type="gramStart"/>
      <w:r w:rsidRPr="00C3477F">
        <w:rPr>
          <w:sz w:val="23"/>
          <w:szCs w:val="23"/>
        </w:rPr>
        <w:t>are stipulated</w:t>
      </w:r>
      <w:proofErr w:type="gramEnd"/>
      <w:r w:rsidRPr="00C3477F">
        <w:rPr>
          <w:sz w:val="23"/>
          <w:szCs w:val="23"/>
        </w:rPr>
        <w:t xml:space="preserve">. Most of these rules, however, are set forth for large sized companies and not very useful or comfortable for middle sized or small sized companies. Therefore, it is common for middle sized or small sized companies to alter those default rules in their articles of association or shareholders’ agreements to the extent permitted under the Companies Act. Since articles of association only govern the relationship between the company and its shareholders, they are unsuitable for addressing arrangements between large shareholders of a company, especially a closely held company, and other large shareholders of the company about how to organize and control the company. Furthermore, since the Companies Act allows greater flexibility of the contents of shareholders’ agreements, shareholders are able to stipulate very specific provisions in the shareholders’ agreement to deal with their concerns about the </w:t>
      </w:r>
      <w:proofErr w:type="gramStart"/>
      <w:r w:rsidRPr="00C3477F">
        <w:rPr>
          <w:sz w:val="23"/>
          <w:szCs w:val="23"/>
        </w:rPr>
        <w:t>company which would not be put</w:t>
      </w:r>
      <w:proofErr w:type="gramEnd"/>
      <w:r w:rsidRPr="00C3477F">
        <w:rPr>
          <w:sz w:val="23"/>
          <w:szCs w:val="23"/>
        </w:rPr>
        <w:t xml:space="preserve"> in the articles of</w:t>
      </w:r>
      <w:r w:rsidRPr="00C3477F">
        <w:rPr>
          <w:spacing w:val="-7"/>
          <w:sz w:val="23"/>
          <w:szCs w:val="23"/>
        </w:rPr>
        <w:t xml:space="preserve"> </w:t>
      </w:r>
      <w:r w:rsidRPr="00C3477F">
        <w:rPr>
          <w:sz w:val="23"/>
          <w:szCs w:val="23"/>
        </w:rPr>
        <w:t>association.</w:t>
      </w:r>
    </w:p>
    <w:p w:rsidR="009C507F" w:rsidRPr="00C3477F" w:rsidRDefault="009C507F">
      <w:pPr>
        <w:pStyle w:val="BodyText"/>
        <w:spacing w:before="3"/>
        <w:rPr>
          <w:sz w:val="23"/>
          <w:szCs w:val="23"/>
        </w:rPr>
      </w:pPr>
    </w:p>
    <w:p w:rsidR="009C507F" w:rsidRPr="00C3477F" w:rsidRDefault="00DC39D2">
      <w:pPr>
        <w:pStyle w:val="ListParagraph"/>
        <w:numPr>
          <w:ilvl w:val="0"/>
          <w:numId w:val="2"/>
        </w:numPr>
        <w:tabs>
          <w:tab w:val="left" w:pos="839"/>
        </w:tabs>
        <w:ind w:right="2466"/>
        <w:jc w:val="left"/>
        <w:rPr>
          <w:b/>
          <w:sz w:val="23"/>
          <w:szCs w:val="23"/>
        </w:rPr>
      </w:pPr>
      <w:r w:rsidRPr="00C3477F">
        <w:rPr>
          <w:b/>
          <w:sz w:val="23"/>
          <w:szCs w:val="23"/>
        </w:rPr>
        <w:t xml:space="preserve">What </w:t>
      </w:r>
      <w:r w:rsidRPr="00C3477F">
        <w:rPr>
          <w:b/>
          <w:spacing w:val="-3"/>
          <w:sz w:val="23"/>
          <w:szCs w:val="23"/>
        </w:rPr>
        <w:t xml:space="preserve">contents tend </w:t>
      </w:r>
      <w:r w:rsidRPr="00C3477F">
        <w:rPr>
          <w:b/>
          <w:sz w:val="23"/>
          <w:szCs w:val="23"/>
        </w:rPr>
        <w:t xml:space="preserve">to be </w:t>
      </w:r>
      <w:r w:rsidRPr="00C3477F">
        <w:rPr>
          <w:b/>
          <w:spacing w:val="-3"/>
          <w:sz w:val="23"/>
          <w:szCs w:val="23"/>
        </w:rPr>
        <w:t xml:space="preserve">included </w:t>
      </w:r>
      <w:r w:rsidRPr="00C3477F">
        <w:rPr>
          <w:b/>
          <w:sz w:val="23"/>
          <w:szCs w:val="23"/>
        </w:rPr>
        <w:t xml:space="preserve">in </w:t>
      </w:r>
      <w:r w:rsidRPr="00C3477F">
        <w:rPr>
          <w:b/>
          <w:spacing w:val="-3"/>
          <w:sz w:val="23"/>
          <w:szCs w:val="23"/>
        </w:rPr>
        <w:t xml:space="preserve">shareholders’ agreements </w:t>
      </w:r>
      <w:r w:rsidRPr="00C3477F">
        <w:rPr>
          <w:b/>
          <w:sz w:val="23"/>
          <w:szCs w:val="23"/>
        </w:rPr>
        <w:t>in</w:t>
      </w:r>
      <w:r w:rsidRPr="00C3477F">
        <w:rPr>
          <w:b/>
          <w:spacing w:val="-7"/>
          <w:sz w:val="23"/>
          <w:szCs w:val="23"/>
        </w:rPr>
        <w:t xml:space="preserve"> </w:t>
      </w:r>
      <w:r w:rsidRPr="00C3477F">
        <w:rPr>
          <w:b/>
          <w:spacing w:val="-3"/>
          <w:sz w:val="23"/>
          <w:szCs w:val="23"/>
        </w:rPr>
        <w:t>Japan?</w:t>
      </w:r>
    </w:p>
    <w:p w:rsidR="009C507F" w:rsidRPr="00C3477F" w:rsidRDefault="009C507F">
      <w:pPr>
        <w:pStyle w:val="BodyText"/>
        <w:spacing w:before="11"/>
        <w:rPr>
          <w:b/>
          <w:sz w:val="23"/>
          <w:szCs w:val="23"/>
        </w:rPr>
      </w:pPr>
    </w:p>
    <w:p w:rsidR="009C507F" w:rsidRPr="00C3477F" w:rsidRDefault="00DC39D2">
      <w:pPr>
        <w:ind w:left="118" w:right="1244"/>
        <w:jc w:val="both"/>
        <w:rPr>
          <w:sz w:val="23"/>
          <w:szCs w:val="23"/>
        </w:rPr>
      </w:pPr>
      <w:r w:rsidRPr="00C3477F">
        <w:rPr>
          <w:sz w:val="23"/>
          <w:szCs w:val="23"/>
        </w:rPr>
        <w:t>Subject to compliance with the mandatory provisions of Japanese laws, public policies of Japan and the articles of association of the company, there is no limit on the contents of shareholders’</w:t>
      </w:r>
      <w:r w:rsidRPr="00C3477F">
        <w:rPr>
          <w:spacing w:val="-3"/>
          <w:sz w:val="23"/>
          <w:szCs w:val="23"/>
        </w:rPr>
        <w:t xml:space="preserve"> </w:t>
      </w:r>
      <w:r w:rsidRPr="00C3477F">
        <w:rPr>
          <w:sz w:val="23"/>
          <w:szCs w:val="23"/>
        </w:rPr>
        <w:t>agreements.</w:t>
      </w:r>
    </w:p>
    <w:p w:rsidR="009C507F" w:rsidRPr="00C3477F" w:rsidRDefault="009C507F">
      <w:pPr>
        <w:pStyle w:val="BodyText"/>
        <w:rPr>
          <w:sz w:val="23"/>
          <w:szCs w:val="23"/>
        </w:rPr>
      </w:pPr>
    </w:p>
    <w:p w:rsidR="009C507F" w:rsidRPr="00C3477F" w:rsidRDefault="00DC39D2">
      <w:pPr>
        <w:ind w:left="118"/>
        <w:jc w:val="both"/>
        <w:rPr>
          <w:sz w:val="23"/>
          <w:szCs w:val="23"/>
        </w:rPr>
      </w:pPr>
      <w:r w:rsidRPr="00C3477F">
        <w:rPr>
          <w:sz w:val="23"/>
          <w:szCs w:val="23"/>
        </w:rPr>
        <w:t>The provisions listed below are usually included in shareholders’ agreements:</w:t>
      </w:r>
    </w:p>
    <w:p w:rsidR="009C507F" w:rsidRPr="00C3477F" w:rsidRDefault="009C507F">
      <w:pPr>
        <w:pStyle w:val="BodyText"/>
        <w:spacing w:before="2"/>
        <w:rPr>
          <w:sz w:val="23"/>
          <w:szCs w:val="23"/>
        </w:rPr>
      </w:pPr>
    </w:p>
    <w:p w:rsidR="009C507F" w:rsidRPr="00C3477F" w:rsidRDefault="00DC39D2" w:rsidP="00DC39D2">
      <w:pPr>
        <w:pStyle w:val="ListParagraph"/>
        <w:numPr>
          <w:ilvl w:val="0"/>
          <w:numId w:val="1"/>
        </w:numPr>
        <w:tabs>
          <w:tab w:val="left" w:pos="460"/>
        </w:tabs>
        <w:ind w:left="460" w:right="1245" w:hanging="342"/>
        <w:jc w:val="both"/>
        <w:rPr>
          <w:sz w:val="23"/>
          <w:szCs w:val="23"/>
        </w:rPr>
      </w:pPr>
      <w:r w:rsidRPr="00C3477F">
        <w:rPr>
          <w:b/>
          <w:sz w:val="23"/>
          <w:szCs w:val="23"/>
        </w:rPr>
        <w:t xml:space="preserve">Governance and management provisions: </w:t>
      </w:r>
      <w:r w:rsidRPr="00C3477F">
        <w:rPr>
          <w:sz w:val="23"/>
          <w:szCs w:val="23"/>
        </w:rPr>
        <w:t>These provisions concern the organization of the company (composition of the board, election and dismissal of directors, powers of the board, determination of the quorum or special majorities for certain</w:t>
      </w:r>
      <w:r w:rsidRPr="00C3477F">
        <w:rPr>
          <w:spacing w:val="12"/>
          <w:sz w:val="23"/>
          <w:szCs w:val="23"/>
        </w:rPr>
        <w:t xml:space="preserve"> </w:t>
      </w:r>
      <w:r w:rsidRPr="00C3477F">
        <w:rPr>
          <w:sz w:val="23"/>
          <w:szCs w:val="23"/>
        </w:rPr>
        <w:t>decisions,</w:t>
      </w:r>
      <w:r w:rsidRPr="00C3477F">
        <w:rPr>
          <w:spacing w:val="15"/>
          <w:sz w:val="23"/>
          <w:szCs w:val="23"/>
        </w:rPr>
        <w:t xml:space="preserve"> </w:t>
      </w:r>
      <w:r w:rsidRPr="00C3477F">
        <w:rPr>
          <w:sz w:val="23"/>
          <w:szCs w:val="23"/>
        </w:rPr>
        <w:t>determination</w:t>
      </w:r>
      <w:r w:rsidRPr="00C3477F">
        <w:rPr>
          <w:spacing w:val="15"/>
          <w:sz w:val="23"/>
          <w:szCs w:val="23"/>
        </w:rPr>
        <w:t xml:space="preserve"> </w:t>
      </w:r>
      <w:r w:rsidRPr="00C3477F">
        <w:rPr>
          <w:sz w:val="23"/>
          <w:szCs w:val="23"/>
        </w:rPr>
        <w:t>of</w:t>
      </w:r>
      <w:r w:rsidRPr="00C3477F">
        <w:rPr>
          <w:spacing w:val="12"/>
          <w:sz w:val="23"/>
          <w:szCs w:val="23"/>
        </w:rPr>
        <w:t xml:space="preserve"> </w:t>
      </w:r>
      <w:r w:rsidRPr="00C3477F">
        <w:rPr>
          <w:sz w:val="23"/>
          <w:szCs w:val="23"/>
        </w:rPr>
        <w:t>voting</w:t>
      </w:r>
      <w:r w:rsidRPr="00C3477F">
        <w:rPr>
          <w:spacing w:val="12"/>
          <w:sz w:val="23"/>
          <w:szCs w:val="23"/>
        </w:rPr>
        <w:t xml:space="preserve"> </w:t>
      </w:r>
      <w:r w:rsidRPr="00C3477F">
        <w:rPr>
          <w:sz w:val="23"/>
          <w:szCs w:val="23"/>
        </w:rPr>
        <w:t>rights,</w:t>
      </w:r>
      <w:r w:rsidRPr="00C3477F">
        <w:rPr>
          <w:spacing w:val="25"/>
          <w:sz w:val="23"/>
          <w:szCs w:val="23"/>
        </w:rPr>
        <w:t xml:space="preserve"> </w:t>
      </w:r>
      <w:r w:rsidRPr="00C3477F">
        <w:rPr>
          <w:sz w:val="23"/>
          <w:szCs w:val="23"/>
        </w:rPr>
        <w:t>veto</w:t>
      </w:r>
      <w:r w:rsidRPr="00C3477F">
        <w:rPr>
          <w:spacing w:val="15"/>
          <w:sz w:val="23"/>
          <w:szCs w:val="23"/>
        </w:rPr>
        <w:t xml:space="preserve"> </w:t>
      </w:r>
      <w:r w:rsidRPr="00C3477F">
        <w:rPr>
          <w:sz w:val="23"/>
          <w:szCs w:val="23"/>
        </w:rPr>
        <w:t>rights</w:t>
      </w:r>
      <w:r w:rsidRPr="00C3477F">
        <w:rPr>
          <w:spacing w:val="15"/>
          <w:sz w:val="23"/>
          <w:szCs w:val="23"/>
        </w:rPr>
        <w:t xml:space="preserve"> </w:t>
      </w:r>
      <w:r w:rsidRPr="00C3477F">
        <w:rPr>
          <w:sz w:val="23"/>
          <w:szCs w:val="23"/>
        </w:rPr>
        <w:t>regarding</w:t>
      </w:r>
      <w:r w:rsidRPr="00C3477F">
        <w:rPr>
          <w:spacing w:val="12"/>
          <w:sz w:val="23"/>
          <w:szCs w:val="23"/>
        </w:rPr>
        <w:t xml:space="preserve"> </w:t>
      </w:r>
      <w:r w:rsidRPr="00C3477F">
        <w:rPr>
          <w:sz w:val="23"/>
          <w:szCs w:val="23"/>
        </w:rPr>
        <w:t>material decisions which will affect the conduct of the company’s business, etc.)</w:t>
      </w:r>
    </w:p>
    <w:p w:rsidR="009C507F" w:rsidRPr="00C3477F" w:rsidRDefault="009C507F">
      <w:pPr>
        <w:pStyle w:val="BodyText"/>
        <w:spacing w:before="2"/>
        <w:rPr>
          <w:sz w:val="23"/>
          <w:szCs w:val="23"/>
        </w:rPr>
      </w:pPr>
    </w:p>
    <w:p w:rsidR="009C507F" w:rsidRPr="00C3477F" w:rsidRDefault="00DC39D2" w:rsidP="00DC39D2">
      <w:pPr>
        <w:pStyle w:val="ListParagraph"/>
        <w:numPr>
          <w:ilvl w:val="0"/>
          <w:numId w:val="1"/>
        </w:numPr>
        <w:tabs>
          <w:tab w:val="left" w:pos="426"/>
        </w:tabs>
        <w:ind w:left="426" w:right="1230" w:hanging="308"/>
        <w:jc w:val="both"/>
        <w:rPr>
          <w:sz w:val="23"/>
          <w:szCs w:val="23"/>
        </w:rPr>
      </w:pPr>
      <w:r w:rsidRPr="00C3477F">
        <w:rPr>
          <w:b/>
          <w:sz w:val="23"/>
          <w:szCs w:val="23"/>
        </w:rPr>
        <w:t xml:space="preserve">Financial provisions: </w:t>
      </w:r>
      <w:r w:rsidRPr="00C3477F">
        <w:rPr>
          <w:sz w:val="23"/>
          <w:szCs w:val="23"/>
        </w:rPr>
        <w:t>These provisions relate to the financial rights of the shareholders (distribution or non-distribution of profits, distribution of dividends to minority shareholders,</w:t>
      </w:r>
      <w:r w:rsidRPr="00C3477F">
        <w:rPr>
          <w:spacing w:val="-6"/>
          <w:sz w:val="23"/>
          <w:szCs w:val="23"/>
        </w:rPr>
        <w:t xml:space="preserve"> </w:t>
      </w:r>
      <w:r w:rsidRPr="00C3477F">
        <w:rPr>
          <w:sz w:val="23"/>
          <w:szCs w:val="23"/>
        </w:rPr>
        <w:t>etc.)</w:t>
      </w:r>
    </w:p>
    <w:p w:rsidR="009C507F" w:rsidRPr="00C3477F" w:rsidRDefault="009C507F" w:rsidP="00DC39D2">
      <w:pPr>
        <w:pStyle w:val="BodyText"/>
        <w:tabs>
          <w:tab w:val="left" w:pos="426"/>
        </w:tabs>
        <w:spacing w:before="9"/>
        <w:ind w:right="1230"/>
        <w:rPr>
          <w:sz w:val="23"/>
          <w:szCs w:val="23"/>
        </w:rPr>
      </w:pPr>
    </w:p>
    <w:p w:rsidR="009C507F" w:rsidRPr="00C3477F" w:rsidRDefault="00DC39D2" w:rsidP="00DC39D2">
      <w:pPr>
        <w:pStyle w:val="ListParagraph"/>
        <w:numPr>
          <w:ilvl w:val="0"/>
          <w:numId w:val="1"/>
        </w:numPr>
        <w:tabs>
          <w:tab w:val="left" w:pos="426"/>
        </w:tabs>
        <w:ind w:left="426" w:right="1230" w:hanging="308"/>
        <w:jc w:val="both"/>
        <w:rPr>
          <w:sz w:val="23"/>
          <w:szCs w:val="23"/>
        </w:rPr>
      </w:pPr>
      <w:r w:rsidRPr="00C3477F">
        <w:rPr>
          <w:b/>
          <w:sz w:val="23"/>
          <w:szCs w:val="23"/>
        </w:rPr>
        <w:t xml:space="preserve">Get-out clauses/provisions: </w:t>
      </w:r>
      <w:r w:rsidRPr="00C3477F">
        <w:rPr>
          <w:sz w:val="23"/>
          <w:szCs w:val="23"/>
        </w:rPr>
        <w:t xml:space="preserve">These provisions relate to the sale, purchase and transfer of shares (tag along clause, drag along clause, </w:t>
      </w:r>
      <w:proofErr w:type="gramStart"/>
      <w:r w:rsidRPr="00C3477F">
        <w:rPr>
          <w:sz w:val="23"/>
          <w:szCs w:val="23"/>
        </w:rPr>
        <w:t>dead lock</w:t>
      </w:r>
      <w:proofErr w:type="gramEnd"/>
      <w:r w:rsidRPr="00C3477F">
        <w:rPr>
          <w:sz w:val="23"/>
          <w:szCs w:val="23"/>
        </w:rPr>
        <w:t xml:space="preserve"> clause, right of first refusal,</w:t>
      </w:r>
      <w:r w:rsidRPr="00C3477F">
        <w:rPr>
          <w:spacing w:val="-1"/>
          <w:sz w:val="23"/>
          <w:szCs w:val="23"/>
        </w:rPr>
        <w:t xml:space="preserve"> </w:t>
      </w:r>
      <w:r w:rsidRPr="00C3477F">
        <w:rPr>
          <w:sz w:val="23"/>
          <w:szCs w:val="23"/>
        </w:rPr>
        <w:t>etc.)</w:t>
      </w:r>
    </w:p>
    <w:p w:rsidR="009C507F" w:rsidRPr="00C3477F" w:rsidRDefault="009C507F" w:rsidP="00DC39D2">
      <w:pPr>
        <w:pStyle w:val="BodyText"/>
        <w:tabs>
          <w:tab w:val="left" w:pos="426"/>
        </w:tabs>
        <w:spacing w:before="5"/>
        <w:rPr>
          <w:sz w:val="23"/>
          <w:szCs w:val="23"/>
        </w:rPr>
      </w:pPr>
    </w:p>
    <w:p w:rsidR="009C507F" w:rsidRPr="00C3477F" w:rsidRDefault="00DC39D2">
      <w:pPr>
        <w:pStyle w:val="ListParagraph"/>
        <w:numPr>
          <w:ilvl w:val="1"/>
          <w:numId w:val="1"/>
        </w:numPr>
        <w:tabs>
          <w:tab w:val="left" w:pos="1972"/>
        </w:tabs>
        <w:ind w:right="868"/>
        <w:jc w:val="left"/>
        <w:rPr>
          <w:b/>
          <w:sz w:val="23"/>
          <w:szCs w:val="23"/>
        </w:rPr>
      </w:pPr>
      <w:r w:rsidRPr="00C3477F">
        <w:rPr>
          <w:b/>
          <w:sz w:val="23"/>
          <w:szCs w:val="23"/>
        </w:rPr>
        <w:t xml:space="preserve">What </w:t>
      </w:r>
      <w:r w:rsidRPr="00C3477F">
        <w:rPr>
          <w:b/>
          <w:spacing w:val="-3"/>
          <w:sz w:val="23"/>
          <w:szCs w:val="23"/>
        </w:rPr>
        <w:t xml:space="preserve">determines </w:t>
      </w:r>
      <w:r w:rsidRPr="00C3477F">
        <w:rPr>
          <w:b/>
          <w:sz w:val="23"/>
          <w:szCs w:val="23"/>
        </w:rPr>
        <w:t xml:space="preserve">the </w:t>
      </w:r>
      <w:r w:rsidRPr="00C3477F">
        <w:rPr>
          <w:b/>
          <w:spacing w:val="-3"/>
          <w:sz w:val="23"/>
          <w:szCs w:val="23"/>
        </w:rPr>
        <w:t xml:space="preserve">content included </w:t>
      </w:r>
      <w:r w:rsidRPr="00C3477F">
        <w:rPr>
          <w:b/>
          <w:sz w:val="23"/>
          <w:szCs w:val="23"/>
        </w:rPr>
        <w:t xml:space="preserve">in </w:t>
      </w:r>
      <w:r w:rsidRPr="00C3477F">
        <w:rPr>
          <w:b/>
          <w:spacing w:val="-3"/>
          <w:sz w:val="23"/>
          <w:szCs w:val="23"/>
        </w:rPr>
        <w:t xml:space="preserve">shareholders’ agreements </w:t>
      </w:r>
      <w:r w:rsidRPr="00C3477F">
        <w:rPr>
          <w:b/>
          <w:sz w:val="23"/>
          <w:szCs w:val="23"/>
        </w:rPr>
        <w:t>in</w:t>
      </w:r>
      <w:r w:rsidRPr="00C3477F">
        <w:rPr>
          <w:b/>
          <w:spacing w:val="-8"/>
          <w:sz w:val="23"/>
          <w:szCs w:val="23"/>
        </w:rPr>
        <w:t xml:space="preserve"> </w:t>
      </w:r>
      <w:r w:rsidRPr="00C3477F">
        <w:rPr>
          <w:b/>
          <w:spacing w:val="-3"/>
          <w:sz w:val="23"/>
          <w:szCs w:val="23"/>
        </w:rPr>
        <w:t>Japan?</w:t>
      </w:r>
    </w:p>
    <w:p w:rsidR="009C507F" w:rsidRPr="00C3477F" w:rsidRDefault="009C507F">
      <w:pPr>
        <w:pStyle w:val="BodyText"/>
        <w:spacing w:before="1"/>
        <w:rPr>
          <w:b/>
          <w:sz w:val="23"/>
          <w:szCs w:val="23"/>
        </w:rPr>
      </w:pPr>
    </w:p>
    <w:p w:rsidR="009C507F" w:rsidRPr="00C3477F" w:rsidRDefault="00DC39D2">
      <w:pPr>
        <w:pStyle w:val="BodyText"/>
        <w:ind w:left="1251" w:right="115"/>
        <w:jc w:val="both"/>
        <w:rPr>
          <w:sz w:val="23"/>
          <w:szCs w:val="23"/>
        </w:rPr>
      </w:pPr>
      <w:r w:rsidRPr="00C3477F">
        <w:rPr>
          <w:sz w:val="23"/>
          <w:szCs w:val="23"/>
        </w:rPr>
        <w:t>The content of a shareholders’ agreement depends on several circumstances, such as the identity of the shareholders, the relationships between the shareholders and the objectives of the shareholders, the company and its business.</w:t>
      </w:r>
    </w:p>
    <w:p w:rsidR="009C507F" w:rsidRPr="00C3477F" w:rsidRDefault="009C507F">
      <w:pPr>
        <w:pStyle w:val="BodyText"/>
        <w:spacing w:before="7"/>
        <w:rPr>
          <w:sz w:val="23"/>
          <w:szCs w:val="23"/>
        </w:rPr>
      </w:pPr>
    </w:p>
    <w:p w:rsidR="009C507F" w:rsidRPr="00C3477F" w:rsidRDefault="00DC39D2">
      <w:pPr>
        <w:pStyle w:val="Heading1"/>
        <w:numPr>
          <w:ilvl w:val="1"/>
          <w:numId w:val="1"/>
        </w:numPr>
        <w:tabs>
          <w:tab w:val="left" w:pos="1972"/>
        </w:tabs>
        <w:ind w:right="215"/>
        <w:jc w:val="left"/>
        <w:rPr>
          <w:sz w:val="23"/>
          <w:szCs w:val="23"/>
        </w:rPr>
      </w:pPr>
      <w:r w:rsidRPr="00C3477F">
        <w:rPr>
          <w:sz w:val="23"/>
          <w:szCs w:val="23"/>
        </w:rPr>
        <w:t xml:space="preserve">What are the </w:t>
      </w:r>
      <w:r w:rsidRPr="00C3477F">
        <w:rPr>
          <w:spacing w:val="-3"/>
          <w:sz w:val="23"/>
          <w:szCs w:val="23"/>
        </w:rPr>
        <w:t xml:space="preserve">most common types </w:t>
      </w:r>
      <w:r w:rsidRPr="00C3477F">
        <w:rPr>
          <w:sz w:val="23"/>
          <w:szCs w:val="23"/>
        </w:rPr>
        <w:t xml:space="preserve">of </w:t>
      </w:r>
      <w:r w:rsidRPr="00C3477F">
        <w:rPr>
          <w:spacing w:val="-3"/>
          <w:sz w:val="23"/>
          <w:szCs w:val="23"/>
        </w:rPr>
        <w:t xml:space="preserve">clauses </w:t>
      </w:r>
      <w:r w:rsidRPr="00C3477F">
        <w:rPr>
          <w:sz w:val="23"/>
          <w:szCs w:val="23"/>
        </w:rPr>
        <w:t xml:space="preserve">in </w:t>
      </w:r>
      <w:r w:rsidRPr="00C3477F">
        <w:rPr>
          <w:spacing w:val="-3"/>
          <w:sz w:val="23"/>
          <w:szCs w:val="23"/>
        </w:rPr>
        <w:t xml:space="preserve">shareholders’ agreements </w:t>
      </w:r>
      <w:r w:rsidRPr="00C3477F">
        <w:rPr>
          <w:sz w:val="23"/>
          <w:szCs w:val="23"/>
        </w:rPr>
        <w:t>in</w:t>
      </w:r>
      <w:r w:rsidRPr="00C3477F">
        <w:rPr>
          <w:spacing w:val="-8"/>
          <w:sz w:val="23"/>
          <w:szCs w:val="23"/>
        </w:rPr>
        <w:t xml:space="preserve"> </w:t>
      </w:r>
      <w:r w:rsidRPr="00C3477F">
        <w:rPr>
          <w:spacing w:val="-3"/>
          <w:sz w:val="23"/>
          <w:szCs w:val="23"/>
        </w:rPr>
        <w:t>Japan?</w:t>
      </w:r>
    </w:p>
    <w:p w:rsidR="009C507F" w:rsidRPr="00C3477F" w:rsidRDefault="009C507F">
      <w:pPr>
        <w:pStyle w:val="BodyText"/>
        <w:spacing w:before="11"/>
        <w:rPr>
          <w:b/>
          <w:sz w:val="23"/>
          <w:szCs w:val="23"/>
        </w:rPr>
      </w:pPr>
    </w:p>
    <w:p w:rsidR="009C507F" w:rsidRPr="00C3477F" w:rsidRDefault="00DC39D2">
      <w:pPr>
        <w:pStyle w:val="BodyText"/>
        <w:ind w:left="1251"/>
        <w:jc w:val="both"/>
        <w:rPr>
          <w:sz w:val="23"/>
          <w:szCs w:val="23"/>
        </w:rPr>
      </w:pPr>
      <w:r w:rsidRPr="00C3477F">
        <w:rPr>
          <w:sz w:val="23"/>
          <w:szCs w:val="23"/>
        </w:rPr>
        <w:t>See question 11.</w:t>
      </w:r>
    </w:p>
    <w:p w:rsidR="009C507F" w:rsidRPr="00C3477F" w:rsidRDefault="009C507F">
      <w:pPr>
        <w:pStyle w:val="BodyText"/>
        <w:spacing w:before="6"/>
        <w:rPr>
          <w:sz w:val="23"/>
          <w:szCs w:val="23"/>
        </w:rPr>
      </w:pPr>
    </w:p>
    <w:p w:rsidR="009C507F" w:rsidRPr="00C3477F" w:rsidRDefault="00DC39D2">
      <w:pPr>
        <w:pStyle w:val="Heading1"/>
        <w:numPr>
          <w:ilvl w:val="1"/>
          <w:numId w:val="1"/>
        </w:numPr>
        <w:tabs>
          <w:tab w:val="left" w:pos="1972"/>
        </w:tabs>
        <w:spacing w:before="1"/>
        <w:ind w:right="394"/>
        <w:jc w:val="left"/>
        <w:rPr>
          <w:sz w:val="23"/>
          <w:szCs w:val="23"/>
        </w:rPr>
      </w:pPr>
      <w:r w:rsidRPr="00C3477F">
        <w:rPr>
          <w:sz w:val="23"/>
          <w:szCs w:val="23"/>
        </w:rPr>
        <w:t xml:space="preserve">What </w:t>
      </w:r>
      <w:r w:rsidRPr="00C3477F">
        <w:rPr>
          <w:spacing w:val="-3"/>
          <w:sz w:val="23"/>
          <w:szCs w:val="23"/>
        </w:rPr>
        <w:t xml:space="preserve">mechanisms </w:t>
      </w:r>
      <w:r w:rsidRPr="00C3477F">
        <w:rPr>
          <w:sz w:val="23"/>
          <w:szCs w:val="23"/>
        </w:rPr>
        <w:t xml:space="preserve">does the </w:t>
      </w:r>
      <w:r w:rsidRPr="00C3477F">
        <w:rPr>
          <w:spacing w:val="-2"/>
          <w:sz w:val="23"/>
          <w:szCs w:val="23"/>
        </w:rPr>
        <w:t xml:space="preserve">law </w:t>
      </w:r>
      <w:r w:rsidRPr="00C3477F">
        <w:rPr>
          <w:sz w:val="23"/>
          <w:szCs w:val="23"/>
        </w:rPr>
        <w:t xml:space="preserve">of </w:t>
      </w:r>
      <w:r w:rsidRPr="00C3477F">
        <w:rPr>
          <w:spacing w:val="-3"/>
          <w:sz w:val="23"/>
          <w:szCs w:val="23"/>
        </w:rPr>
        <w:t xml:space="preserve">Japan permit </w:t>
      </w:r>
      <w:r w:rsidRPr="00C3477F">
        <w:rPr>
          <w:sz w:val="23"/>
          <w:szCs w:val="23"/>
        </w:rPr>
        <w:t xml:space="preserve">to </w:t>
      </w:r>
      <w:r w:rsidRPr="00C3477F">
        <w:rPr>
          <w:spacing w:val="-3"/>
          <w:sz w:val="23"/>
          <w:szCs w:val="23"/>
        </w:rPr>
        <w:t xml:space="preserve">ensure participation </w:t>
      </w:r>
      <w:r w:rsidRPr="00C3477F">
        <w:rPr>
          <w:sz w:val="23"/>
          <w:szCs w:val="23"/>
        </w:rPr>
        <w:t xml:space="preserve">of </w:t>
      </w:r>
      <w:r w:rsidRPr="00C3477F">
        <w:rPr>
          <w:spacing w:val="-3"/>
          <w:sz w:val="23"/>
          <w:szCs w:val="23"/>
        </w:rPr>
        <w:t xml:space="preserve">minorities </w:t>
      </w:r>
      <w:r w:rsidRPr="00C3477F">
        <w:rPr>
          <w:sz w:val="23"/>
          <w:szCs w:val="23"/>
        </w:rPr>
        <w:t xml:space="preserve">on the board of </w:t>
      </w:r>
      <w:r w:rsidRPr="00C3477F">
        <w:rPr>
          <w:spacing w:val="-3"/>
          <w:sz w:val="23"/>
          <w:szCs w:val="23"/>
        </w:rPr>
        <w:t xml:space="preserve">directors </w:t>
      </w:r>
      <w:r w:rsidRPr="00C3477F">
        <w:rPr>
          <w:sz w:val="23"/>
          <w:szCs w:val="23"/>
        </w:rPr>
        <w:t>and</w:t>
      </w:r>
      <w:r w:rsidRPr="00C3477F">
        <w:rPr>
          <w:spacing w:val="-47"/>
          <w:sz w:val="23"/>
          <w:szCs w:val="23"/>
        </w:rPr>
        <w:t xml:space="preserve"> </w:t>
      </w:r>
      <w:r w:rsidRPr="00C3477F">
        <w:rPr>
          <w:sz w:val="23"/>
          <w:szCs w:val="23"/>
        </w:rPr>
        <w:t xml:space="preserve">its </w:t>
      </w:r>
      <w:r w:rsidRPr="00C3477F">
        <w:rPr>
          <w:spacing w:val="-3"/>
          <w:sz w:val="23"/>
          <w:szCs w:val="23"/>
        </w:rPr>
        <w:t>control?</w:t>
      </w:r>
    </w:p>
    <w:p w:rsidR="009C507F" w:rsidRPr="00C3477F" w:rsidRDefault="009C507F">
      <w:pPr>
        <w:pStyle w:val="BodyText"/>
        <w:rPr>
          <w:b/>
          <w:sz w:val="23"/>
          <w:szCs w:val="23"/>
        </w:rPr>
      </w:pPr>
    </w:p>
    <w:p w:rsidR="009C507F" w:rsidRPr="00C3477F" w:rsidRDefault="00DC39D2">
      <w:pPr>
        <w:pStyle w:val="BodyText"/>
        <w:spacing w:before="1"/>
        <w:ind w:left="1251" w:right="111"/>
        <w:jc w:val="both"/>
        <w:rPr>
          <w:sz w:val="23"/>
          <w:szCs w:val="23"/>
        </w:rPr>
      </w:pPr>
      <w:r w:rsidRPr="00C3477F">
        <w:rPr>
          <w:sz w:val="23"/>
          <w:szCs w:val="23"/>
        </w:rPr>
        <w:t xml:space="preserve">Cumulative voting for elections of directors is permitted in Japan unless </w:t>
      </w:r>
      <w:proofErr w:type="gramStart"/>
      <w:r w:rsidRPr="00C3477F">
        <w:rPr>
          <w:sz w:val="23"/>
          <w:szCs w:val="23"/>
        </w:rPr>
        <w:t>it is forbidden by the articles of association (Art. 342 of the Companies Act)</w:t>
      </w:r>
      <w:proofErr w:type="gramEnd"/>
      <w:r w:rsidRPr="00C3477F">
        <w:rPr>
          <w:sz w:val="23"/>
          <w:szCs w:val="23"/>
        </w:rPr>
        <w:t>. Therefore, even minority shareholders have the opportunity of appointing director(s) onto the board of directors. Japanese laws also permit certain types of companies to issue shares of different classes and to let shareholders of those different classes elect their own directors (Art. 108 Para. 1 Item 9 of the Companies Act). In this case, if minority shareholders can occupy a majority of votes within their share class, they have the opportunity to appoint a director to the</w:t>
      </w:r>
      <w:r w:rsidRPr="00C3477F">
        <w:rPr>
          <w:spacing w:val="-1"/>
          <w:sz w:val="23"/>
          <w:szCs w:val="23"/>
        </w:rPr>
        <w:t xml:space="preserve"> </w:t>
      </w:r>
      <w:r w:rsidRPr="00C3477F">
        <w:rPr>
          <w:sz w:val="23"/>
          <w:szCs w:val="23"/>
        </w:rPr>
        <w:t>board.</w:t>
      </w:r>
    </w:p>
    <w:p w:rsidR="009C507F" w:rsidRPr="00C3477F" w:rsidRDefault="009C507F">
      <w:pPr>
        <w:pStyle w:val="BodyText"/>
        <w:spacing w:before="3"/>
        <w:rPr>
          <w:sz w:val="23"/>
          <w:szCs w:val="23"/>
        </w:rPr>
      </w:pPr>
    </w:p>
    <w:p w:rsidR="009C507F" w:rsidRPr="00C3477F" w:rsidRDefault="00DC39D2">
      <w:pPr>
        <w:pStyle w:val="BodyText"/>
        <w:ind w:left="1251" w:right="113"/>
        <w:jc w:val="both"/>
        <w:rPr>
          <w:sz w:val="23"/>
          <w:szCs w:val="23"/>
        </w:rPr>
      </w:pPr>
      <w:r w:rsidRPr="00C3477F">
        <w:rPr>
          <w:sz w:val="23"/>
          <w:szCs w:val="23"/>
        </w:rPr>
        <w:t xml:space="preserve">Furthermore, under the Japanese Companies Act, minority shareholders </w:t>
      </w:r>
      <w:proofErr w:type="gramStart"/>
      <w:r w:rsidRPr="00C3477F">
        <w:rPr>
          <w:sz w:val="23"/>
          <w:szCs w:val="23"/>
        </w:rPr>
        <w:t>are granted</w:t>
      </w:r>
      <w:proofErr w:type="gramEnd"/>
      <w:r w:rsidRPr="00C3477F">
        <w:rPr>
          <w:sz w:val="23"/>
          <w:szCs w:val="23"/>
        </w:rPr>
        <w:t xml:space="preserve"> certain rights against the company and directors including, without limitation, the right:</w:t>
      </w:r>
    </w:p>
    <w:p w:rsidR="009C507F" w:rsidRPr="00C3477F" w:rsidRDefault="00DC39D2" w:rsidP="00DC39D2">
      <w:pPr>
        <w:pStyle w:val="BodyText"/>
        <w:ind w:left="1251" w:right="112"/>
        <w:jc w:val="both"/>
        <w:rPr>
          <w:sz w:val="23"/>
          <w:szCs w:val="23"/>
        </w:rPr>
      </w:pPr>
      <w:proofErr w:type="gramStart"/>
      <w:r w:rsidRPr="00C3477F">
        <w:rPr>
          <w:sz w:val="23"/>
          <w:szCs w:val="23"/>
        </w:rPr>
        <w:t>(</w:t>
      </w:r>
      <w:proofErr w:type="spellStart"/>
      <w:r w:rsidRPr="00C3477F">
        <w:rPr>
          <w:sz w:val="23"/>
          <w:szCs w:val="23"/>
        </w:rPr>
        <w:t>i</w:t>
      </w:r>
      <w:proofErr w:type="spellEnd"/>
      <w:r w:rsidRPr="00C3477F">
        <w:rPr>
          <w:sz w:val="23"/>
          <w:szCs w:val="23"/>
        </w:rPr>
        <w:t xml:space="preserve">) to require the inspection of the books, records and shareholders' register of the company (Art. 125, Art. 433); (ii) to require calling of the General Shareholders' Meeting and to submit an agenda thereat (Art. 297); (iii) to request that the company initiate a lawsuit to pursue the liability of directors (Art. 847, Para. 1); (iv) to initiate a shareholders’ lawsuit (Art. 847 Para. 3); (v) to request suspension of illegal conduct by directors (Art. </w:t>
      </w:r>
      <w:r w:rsidR="00A72327" w:rsidRPr="00C3477F">
        <w:rPr>
          <w:sz w:val="23"/>
          <w:szCs w:val="23"/>
        </w:rPr>
        <w:t>360</w:t>
      </w:r>
      <w:r w:rsidRPr="00C3477F">
        <w:rPr>
          <w:sz w:val="23"/>
          <w:szCs w:val="23"/>
        </w:rPr>
        <w:t>); and (vi) to request the dismissal of directors and auditors in certain cases (Art. 854), etc.</w:t>
      </w:r>
      <w:proofErr w:type="gramEnd"/>
    </w:p>
    <w:p w:rsidR="009C507F" w:rsidRPr="00C3477F" w:rsidRDefault="009C507F">
      <w:pPr>
        <w:pStyle w:val="BodyText"/>
        <w:spacing w:before="9"/>
        <w:rPr>
          <w:sz w:val="23"/>
          <w:szCs w:val="23"/>
        </w:rPr>
      </w:pPr>
    </w:p>
    <w:p w:rsidR="009C507F" w:rsidRPr="00C3477F" w:rsidRDefault="00DC39D2">
      <w:pPr>
        <w:pStyle w:val="Heading1"/>
        <w:numPr>
          <w:ilvl w:val="1"/>
          <w:numId w:val="1"/>
        </w:numPr>
        <w:tabs>
          <w:tab w:val="left" w:pos="839"/>
        </w:tabs>
        <w:ind w:left="838" w:right="1296"/>
        <w:jc w:val="left"/>
        <w:rPr>
          <w:sz w:val="23"/>
          <w:szCs w:val="23"/>
        </w:rPr>
      </w:pPr>
      <w:r w:rsidRPr="00C3477F">
        <w:rPr>
          <w:sz w:val="23"/>
          <w:szCs w:val="23"/>
        </w:rPr>
        <w:t xml:space="preserve">Is it </w:t>
      </w:r>
      <w:r w:rsidRPr="00C3477F">
        <w:rPr>
          <w:spacing w:val="-3"/>
          <w:sz w:val="23"/>
          <w:szCs w:val="23"/>
        </w:rPr>
        <w:t xml:space="preserve">possible </w:t>
      </w:r>
      <w:r w:rsidRPr="00C3477F">
        <w:rPr>
          <w:sz w:val="23"/>
          <w:szCs w:val="23"/>
        </w:rPr>
        <w:t xml:space="preserve">in </w:t>
      </w:r>
      <w:r w:rsidRPr="00C3477F">
        <w:rPr>
          <w:spacing w:val="-3"/>
          <w:sz w:val="23"/>
          <w:szCs w:val="23"/>
        </w:rPr>
        <w:t xml:space="preserve">Japan </w:t>
      </w:r>
      <w:r w:rsidRPr="00C3477F">
        <w:rPr>
          <w:sz w:val="23"/>
          <w:szCs w:val="23"/>
        </w:rPr>
        <w:t xml:space="preserve">to </w:t>
      </w:r>
      <w:r w:rsidRPr="00C3477F">
        <w:rPr>
          <w:spacing w:val="-3"/>
          <w:sz w:val="23"/>
          <w:szCs w:val="23"/>
        </w:rPr>
        <w:t xml:space="preserve">ensure minority shareholder control </w:t>
      </w:r>
      <w:r w:rsidRPr="00C3477F">
        <w:rPr>
          <w:sz w:val="23"/>
          <w:szCs w:val="23"/>
        </w:rPr>
        <w:t xml:space="preserve">by </w:t>
      </w:r>
      <w:r w:rsidRPr="00C3477F">
        <w:rPr>
          <w:spacing w:val="-3"/>
          <w:sz w:val="23"/>
          <w:szCs w:val="23"/>
        </w:rPr>
        <w:t xml:space="preserve">means </w:t>
      </w:r>
      <w:r w:rsidRPr="00C3477F">
        <w:rPr>
          <w:sz w:val="23"/>
          <w:szCs w:val="23"/>
        </w:rPr>
        <w:t xml:space="preserve">of a </w:t>
      </w:r>
      <w:r w:rsidRPr="00C3477F">
        <w:rPr>
          <w:spacing w:val="-3"/>
          <w:sz w:val="23"/>
          <w:szCs w:val="23"/>
        </w:rPr>
        <w:t>shareholders’</w:t>
      </w:r>
      <w:r w:rsidRPr="00C3477F">
        <w:rPr>
          <w:spacing w:val="-22"/>
          <w:sz w:val="23"/>
          <w:szCs w:val="23"/>
        </w:rPr>
        <w:t xml:space="preserve"> </w:t>
      </w:r>
      <w:r w:rsidRPr="00C3477F">
        <w:rPr>
          <w:spacing w:val="-3"/>
          <w:sz w:val="23"/>
          <w:szCs w:val="23"/>
        </w:rPr>
        <w:t>agreement?</w:t>
      </w:r>
    </w:p>
    <w:p w:rsidR="009C507F" w:rsidRPr="00C3477F" w:rsidRDefault="009C507F">
      <w:pPr>
        <w:pStyle w:val="BodyText"/>
        <w:spacing w:before="10"/>
        <w:rPr>
          <w:b/>
          <w:sz w:val="23"/>
          <w:szCs w:val="23"/>
        </w:rPr>
      </w:pPr>
    </w:p>
    <w:p w:rsidR="009C507F" w:rsidRPr="00C3477F" w:rsidRDefault="00DC39D2" w:rsidP="00DC39D2">
      <w:pPr>
        <w:pStyle w:val="BodyText"/>
        <w:ind w:left="478" w:right="96"/>
        <w:jc w:val="both"/>
        <w:rPr>
          <w:sz w:val="23"/>
          <w:szCs w:val="23"/>
        </w:rPr>
      </w:pPr>
      <w:r w:rsidRPr="00C3477F">
        <w:rPr>
          <w:sz w:val="23"/>
          <w:szCs w:val="23"/>
        </w:rPr>
        <w:t>By means of shareholders’ agreements, it is possible for minority shareholders to exercise control while owning less than half of the shares in the company. For example, shareholders’ agreements can allow minority shareholders to exercise control by: (</w:t>
      </w:r>
      <w:proofErr w:type="spellStart"/>
      <w:r w:rsidRPr="00C3477F">
        <w:rPr>
          <w:sz w:val="23"/>
          <w:szCs w:val="23"/>
        </w:rPr>
        <w:t>i</w:t>
      </w:r>
      <w:proofErr w:type="spellEnd"/>
      <w:r w:rsidRPr="00C3477F">
        <w:rPr>
          <w:sz w:val="23"/>
          <w:szCs w:val="23"/>
        </w:rPr>
        <w:t>) granting the minority shareholder a special right to nominate one or more directors of the company; (ii) requiring shareholders to take into account the wishes of minority shareholders in relation to particular matters; and (iii) granting a veto right to minority shareholders in relation to particular matters.</w:t>
      </w:r>
    </w:p>
    <w:p w:rsidR="009C507F" w:rsidRPr="00C3477F" w:rsidRDefault="009C507F" w:rsidP="00DC39D2">
      <w:pPr>
        <w:pStyle w:val="BodyText"/>
        <w:spacing w:before="9"/>
        <w:ind w:left="720" w:right="96"/>
        <w:rPr>
          <w:sz w:val="23"/>
          <w:szCs w:val="23"/>
        </w:rPr>
      </w:pPr>
    </w:p>
    <w:p w:rsidR="009C507F" w:rsidRPr="00C3477F" w:rsidRDefault="00DC39D2" w:rsidP="00DC39D2">
      <w:pPr>
        <w:pStyle w:val="Heading1"/>
        <w:keepNext/>
        <w:numPr>
          <w:ilvl w:val="1"/>
          <w:numId w:val="1"/>
        </w:numPr>
        <w:tabs>
          <w:tab w:val="left" w:pos="839"/>
        </w:tabs>
        <w:ind w:left="838" w:right="1310"/>
        <w:jc w:val="left"/>
        <w:rPr>
          <w:sz w:val="23"/>
          <w:szCs w:val="23"/>
        </w:rPr>
      </w:pPr>
      <w:r w:rsidRPr="00C3477F">
        <w:rPr>
          <w:sz w:val="23"/>
          <w:szCs w:val="23"/>
        </w:rPr>
        <w:t xml:space="preserve">What are the usual </w:t>
      </w:r>
      <w:r w:rsidRPr="00C3477F">
        <w:rPr>
          <w:spacing w:val="-3"/>
          <w:sz w:val="23"/>
          <w:szCs w:val="23"/>
        </w:rPr>
        <w:t xml:space="preserve">valuation mechanisms </w:t>
      </w:r>
      <w:r w:rsidRPr="00C3477F">
        <w:rPr>
          <w:sz w:val="23"/>
          <w:szCs w:val="23"/>
        </w:rPr>
        <w:t xml:space="preserve">in </w:t>
      </w:r>
      <w:r w:rsidRPr="00C3477F">
        <w:rPr>
          <w:spacing w:val="-3"/>
          <w:sz w:val="23"/>
          <w:szCs w:val="23"/>
        </w:rPr>
        <w:t>connection</w:t>
      </w:r>
      <w:r w:rsidRPr="00C3477F">
        <w:rPr>
          <w:spacing w:val="-50"/>
          <w:sz w:val="23"/>
          <w:szCs w:val="23"/>
        </w:rPr>
        <w:t xml:space="preserve"> </w:t>
      </w:r>
      <w:r w:rsidRPr="00C3477F">
        <w:rPr>
          <w:sz w:val="23"/>
          <w:szCs w:val="23"/>
        </w:rPr>
        <w:t xml:space="preserve">with </w:t>
      </w:r>
      <w:r w:rsidRPr="00C3477F">
        <w:rPr>
          <w:spacing w:val="-3"/>
          <w:sz w:val="23"/>
          <w:szCs w:val="23"/>
        </w:rPr>
        <w:t xml:space="preserve">rights </w:t>
      </w:r>
      <w:r w:rsidRPr="00C3477F">
        <w:rPr>
          <w:sz w:val="23"/>
          <w:szCs w:val="23"/>
        </w:rPr>
        <w:t xml:space="preserve">of </w:t>
      </w:r>
      <w:r w:rsidRPr="00C3477F">
        <w:rPr>
          <w:spacing w:val="-3"/>
          <w:sz w:val="23"/>
          <w:szCs w:val="23"/>
        </w:rPr>
        <w:t xml:space="preserve">first refusal </w:t>
      </w:r>
      <w:r w:rsidRPr="00C3477F">
        <w:rPr>
          <w:sz w:val="23"/>
          <w:szCs w:val="23"/>
        </w:rPr>
        <w:t xml:space="preserve">or share </w:t>
      </w:r>
      <w:r w:rsidRPr="00C3477F">
        <w:rPr>
          <w:spacing w:val="-3"/>
          <w:sz w:val="23"/>
          <w:szCs w:val="23"/>
        </w:rPr>
        <w:t>transfer</w:t>
      </w:r>
      <w:r w:rsidRPr="00C3477F">
        <w:rPr>
          <w:spacing w:val="-28"/>
          <w:sz w:val="23"/>
          <w:szCs w:val="23"/>
        </w:rPr>
        <w:t xml:space="preserve"> </w:t>
      </w:r>
      <w:r w:rsidRPr="00C3477F">
        <w:rPr>
          <w:spacing w:val="-3"/>
          <w:sz w:val="23"/>
          <w:szCs w:val="23"/>
        </w:rPr>
        <w:t>regulations?</w:t>
      </w:r>
    </w:p>
    <w:p w:rsidR="009C507F" w:rsidRPr="00C3477F" w:rsidRDefault="009C507F" w:rsidP="00DC39D2">
      <w:pPr>
        <w:pStyle w:val="BodyText"/>
        <w:keepNext/>
        <w:spacing w:before="10"/>
        <w:rPr>
          <w:b/>
          <w:sz w:val="23"/>
          <w:szCs w:val="23"/>
        </w:rPr>
      </w:pPr>
    </w:p>
    <w:p w:rsidR="009C507F" w:rsidRPr="00C3477F" w:rsidRDefault="00DC39D2">
      <w:pPr>
        <w:pStyle w:val="BodyText"/>
        <w:ind w:left="118" w:right="1246"/>
        <w:jc w:val="both"/>
        <w:rPr>
          <w:sz w:val="23"/>
          <w:szCs w:val="23"/>
        </w:rPr>
      </w:pPr>
      <w:r w:rsidRPr="00C3477F">
        <w:rPr>
          <w:sz w:val="23"/>
          <w:szCs w:val="23"/>
        </w:rPr>
        <w:t xml:space="preserve">Pursuant to Japanese market practice, the price of the shares in connection with rights of first refusal or share transfer regulations is generally based on a method of calculation agreed by the parties (value based on future earnings, cash flows, assets or a multiple of EBITDA or EBIT, etc.). The appointment of a mutually agreed </w:t>
      </w:r>
      <w:r w:rsidRPr="00C3477F">
        <w:rPr>
          <w:sz w:val="23"/>
          <w:szCs w:val="23"/>
        </w:rPr>
        <w:lastRenderedPageBreak/>
        <w:t>upon external expert in order to determine the price of the shares is also common in Japan.</w:t>
      </w:r>
    </w:p>
    <w:p w:rsidR="009C507F" w:rsidRPr="00C3477F" w:rsidRDefault="009C507F">
      <w:pPr>
        <w:pStyle w:val="BodyText"/>
        <w:spacing w:before="8"/>
        <w:rPr>
          <w:sz w:val="23"/>
          <w:szCs w:val="23"/>
        </w:rPr>
      </w:pPr>
    </w:p>
    <w:p w:rsidR="009C507F" w:rsidRPr="00C3477F" w:rsidRDefault="00DC39D2">
      <w:pPr>
        <w:pStyle w:val="Heading1"/>
        <w:numPr>
          <w:ilvl w:val="1"/>
          <w:numId w:val="1"/>
        </w:numPr>
        <w:tabs>
          <w:tab w:val="left" w:pos="839"/>
        </w:tabs>
        <w:ind w:left="838" w:right="1360"/>
        <w:jc w:val="left"/>
        <w:rPr>
          <w:sz w:val="23"/>
          <w:szCs w:val="23"/>
        </w:rPr>
      </w:pPr>
      <w:r w:rsidRPr="00C3477F">
        <w:rPr>
          <w:sz w:val="23"/>
          <w:szCs w:val="23"/>
        </w:rPr>
        <w:t xml:space="preserve">Is it </w:t>
      </w:r>
      <w:r w:rsidRPr="00C3477F">
        <w:rPr>
          <w:spacing w:val="-3"/>
          <w:sz w:val="23"/>
          <w:szCs w:val="23"/>
        </w:rPr>
        <w:t xml:space="preserve">admissible </w:t>
      </w:r>
      <w:r w:rsidRPr="00C3477F">
        <w:rPr>
          <w:sz w:val="23"/>
          <w:szCs w:val="23"/>
        </w:rPr>
        <w:t xml:space="preserve">for a </w:t>
      </w:r>
      <w:r w:rsidRPr="00C3477F">
        <w:rPr>
          <w:spacing w:val="-3"/>
          <w:sz w:val="23"/>
          <w:szCs w:val="23"/>
        </w:rPr>
        <w:t xml:space="preserve">shareholders’ </w:t>
      </w:r>
      <w:r w:rsidRPr="00C3477F">
        <w:rPr>
          <w:spacing w:val="-4"/>
          <w:sz w:val="23"/>
          <w:szCs w:val="23"/>
        </w:rPr>
        <w:t xml:space="preserve">agreement </w:t>
      </w:r>
      <w:r w:rsidRPr="00C3477F">
        <w:rPr>
          <w:sz w:val="23"/>
          <w:szCs w:val="23"/>
        </w:rPr>
        <w:t xml:space="preserve">clause to </w:t>
      </w:r>
      <w:r w:rsidRPr="00C3477F">
        <w:rPr>
          <w:spacing w:val="-3"/>
          <w:sz w:val="23"/>
          <w:szCs w:val="23"/>
        </w:rPr>
        <w:t xml:space="preserve">refer dispute resolution </w:t>
      </w:r>
      <w:r w:rsidRPr="00C3477F">
        <w:rPr>
          <w:sz w:val="23"/>
          <w:szCs w:val="23"/>
        </w:rPr>
        <w:t xml:space="preserve">to the </w:t>
      </w:r>
      <w:r w:rsidRPr="00C3477F">
        <w:rPr>
          <w:spacing w:val="-3"/>
          <w:sz w:val="23"/>
          <w:szCs w:val="23"/>
        </w:rPr>
        <w:t xml:space="preserve">courts other than </w:t>
      </w:r>
      <w:r w:rsidRPr="00C3477F">
        <w:rPr>
          <w:sz w:val="23"/>
          <w:szCs w:val="23"/>
        </w:rPr>
        <w:t xml:space="preserve">those of </w:t>
      </w:r>
      <w:r w:rsidRPr="00C3477F">
        <w:rPr>
          <w:spacing w:val="-3"/>
          <w:sz w:val="23"/>
          <w:szCs w:val="23"/>
        </w:rPr>
        <w:t xml:space="preserve">Japan </w:t>
      </w:r>
      <w:r w:rsidRPr="00C3477F">
        <w:rPr>
          <w:sz w:val="23"/>
          <w:szCs w:val="23"/>
        </w:rPr>
        <w:t xml:space="preserve">and/or </w:t>
      </w:r>
      <w:r w:rsidRPr="00C3477F">
        <w:rPr>
          <w:spacing w:val="-3"/>
          <w:sz w:val="23"/>
          <w:szCs w:val="23"/>
        </w:rPr>
        <w:t xml:space="preserve">under </w:t>
      </w:r>
      <w:r w:rsidRPr="00C3477F">
        <w:rPr>
          <w:sz w:val="23"/>
          <w:szCs w:val="23"/>
        </w:rPr>
        <w:t xml:space="preserve">a </w:t>
      </w:r>
      <w:r w:rsidRPr="00C3477F">
        <w:rPr>
          <w:spacing w:val="-3"/>
          <w:sz w:val="23"/>
          <w:szCs w:val="23"/>
        </w:rPr>
        <w:t xml:space="preserve">law other </w:t>
      </w:r>
      <w:r w:rsidRPr="00C3477F">
        <w:rPr>
          <w:sz w:val="23"/>
          <w:szCs w:val="23"/>
        </w:rPr>
        <w:t>than that of</w:t>
      </w:r>
      <w:r w:rsidRPr="00C3477F">
        <w:rPr>
          <w:spacing w:val="-35"/>
          <w:sz w:val="23"/>
          <w:szCs w:val="23"/>
        </w:rPr>
        <w:t xml:space="preserve"> </w:t>
      </w:r>
      <w:r w:rsidRPr="00C3477F">
        <w:rPr>
          <w:spacing w:val="-3"/>
          <w:sz w:val="23"/>
          <w:szCs w:val="23"/>
        </w:rPr>
        <w:t>Japan?</w:t>
      </w:r>
    </w:p>
    <w:p w:rsidR="009C507F" w:rsidRPr="00C3477F" w:rsidRDefault="009C507F">
      <w:pPr>
        <w:pStyle w:val="BodyText"/>
        <w:spacing w:before="1"/>
        <w:rPr>
          <w:b/>
          <w:sz w:val="23"/>
          <w:szCs w:val="23"/>
        </w:rPr>
      </w:pPr>
    </w:p>
    <w:p w:rsidR="009C507F" w:rsidRPr="00C3477F" w:rsidRDefault="00DC39D2">
      <w:pPr>
        <w:pStyle w:val="BodyText"/>
        <w:ind w:left="118" w:right="1245"/>
        <w:jc w:val="both"/>
        <w:rPr>
          <w:sz w:val="23"/>
          <w:szCs w:val="23"/>
        </w:rPr>
      </w:pPr>
      <w:r w:rsidRPr="00C3477F">
        <w:rPr>
          <w:sz w:val="23"/>
          <w:szCs w:val="23"/>
        </w:rPr>
        <w:t xml:space="preserve">Both the choice-of-forum and choice-of-law clause are admissible. </w:t>
      </w:r>
      <w:proofErr w:type="gramStart"/>
      <w:r w:rsidRPr="00C3477F">
        <w:rPr>
          <w:sz w:val="23"/>
          <w:szCs w:val="23"/>
        </w:rPr>
        <w:t>However, given the relationship between: (</w:t>
      </w:r>
      <w:proofErr w:type="spellStart"/>
      <w:r w:rsidRPr="00C3477F">
        <w:rPr>
          <w:sz w:val="23"/>
          <w:szCs w:val="23"/>
        </w:rPr>
        <w:t>i</w:t>
      </w:r>
      <w:proofErr w:type="spellEnd"/>
      <w:r w:rsidRPr="00C3477F">
        <w:rPr>
          <w:sz w:val="23"/>
          <w:szCs w:val="23"/>
        </w:rPr>
        <w:t>) the shareholders’ agreement and the articles of association which is of course regulated by the Japanese Companies Act; and (ii) the shareholders’ agreement and the Japanese Companies Act, it is strongly recommended to choose Japanese law as the governing law and to refer dispute resolution to a Japanese court where the agreement has a nexus with Japan.</w:t>
      </w:r>
      <w:proofErr w:type="gramEnd"/>
    </w:p>
    <w:p w:rsidR="009C507F" w:rsidRPr="00C3477F" w:rsidRDefault="009C507F">
      <w:pPr>
        <w:pStyle w:val="BodyText"/>
        <w:spacing w:before="7"/>
        <w:rPr>
          <w:sz w:val="23"/>
          <w:szCs w:val="23"/>
        </w:rPr>
      </w:pPr>
    </w:p>
    <w:p w:rsidR="009C507F" w:rsidRPr="00C3477F" w:rsidRDefault="00DC39D2">
      <w:pPr>
        <w:pStyle w:val="Heading1"/>
        <w:numPr>
          <w:ilvl w:val="1"/>
          <w:numId w:val="1"/>
        </w:numPr>
        <w:tabs>
          <w:tab w:val="left" w:pos="839"/>
        </w:tabs>
        <w:ind w:left="838" w:right="1248"/>
        <w:jc w:val="left"/>
        <w:rPr>
          <w:sz w:val="23"/>
          <w:szCs w:val="23"/>
        </w:rPr>
      </w:pPr>
      <w:r w:rsidRPr="00C3477F">
        <w:rPr>
          <w:sz w:val="23"/>
          <w:szCs w:val="23"/>
        </w:rPr>
        <w:t xml:space="preserve">Is it </w:t>
      </w:r>
      <w:r w:rsidRPr="00C3477F">
        <w:rPr>
          <w:spacing w:val="-3"/>
          <w:sz w:val="23"/>
          <w:szCs w:val="23"/>
        </w:rPr>
        <w:t xml:space="preserve">admissible </w:t>
      </w:r>
      <w:r w:rsidRPr="00C3477F">
        <w:rPr>
          <w:sz w:val="23"/>
          <w:szCs w:val="23"/>
        </w:rPr>
        <w:t xml:space="preserve">for a </w:t>
      </w:r>
      <w:r w:rsidRPr="00C3477F">
        <w:rPr>
          <w:spacing w:val="-3"/>
          <w:sz w:val="23"/>
          <w:szCs w:val="23"/>
        </w:rPr>
        <w:t xml:space="preserve">shareholders’ </w:t>
      </w:r>
      <w:r w:rsidRPr="00C3477F">
        <w:rPr>
          <w:spacing w:val="-4"/>
          <w:sz w:val="23"/>
          <w:szCs w:val="23"/>
        </w:rPr>
        <w:t xml:space="preserve">agreement </w:t>
      </w:r>
      <w:r w:rsidRPr="00C3477F">
        <w:rPr>
          <w:sz w:val="23"/>
          <w:szCs w:val="23"/>
        </w:rPr>
        <w:t xml:space="preserve">to </w:t>
      </w:r>
      <w:r w:rsidRPr="00C3477F">
        <w:rPr>
          <w:spacing w:val="-3"/>
          <w:sz w:val="23"/>
          <w:szCs w:val="23"/>
        </w:rPr>
        <w:t xml:space="preserve">include </w:t>
      </w:r>
      <w:r w:rsidRPr="00C3477F">
        <w:rPr>
          <w:sz w:val="23"/>
          <w:szCs w:val="23"/>
        </w:rPr>
        <w:t xml:space="preserve">an </w:t>
      </w:r>
      <w:r w:rsidRPr="00C3477F">
        <w:rPr>
          <w:spacing w:val="-3"/>
          <w:sz w:val="23"/>
          <w:szCs w:val="23"/>
        </w:rPr>
        <w:t xml:space="preserve">arbitration clause with </w:t>
      </w:r>
      <w:r w:rsidRPr="00C3477F">
        <w:rPr>
          <w:sz w:val="23"/>
          <w:szCs w:val="23"/>
        </w:rPr>
        <w:t xml:space="preserve">seat </w:t>
      </w:r>
      <w:r w:rsidRPr="00C3477F">
        <w:rPr>
          <w:spacing w:val="-3"/>
          <w:sz w:val="23"/>
          <w:szCs w:val="23"/>
        </w:rPr>
        <w:t xml:space="preserve">outside Japan </w:t>
      </w:r>
      <w:r w:rsidRPr="00C3477F">
        <w:rPr>
          <w:sz w:val="23"/>
          <w:szCs w:val="23"/>
        </w:rPr>
        <w:t xml:space="preserve">and/or </w:t>
      </w:r>
      <w:r w:rsidRPr="00C3477F">
        <w:rPr>
          <w:spacing w:val="-3"/>
          <w:sz w:val="23"/>
          <w:szCs w:val="23"/>
        </w:rPr>
        <w:t xml:space="preserve">under </w:t>
      </w:r>
      <w:r w:rsidRPr="00C3477F">
        <w:rPr>
          <w:sz w:val="23"/>
          <w:szCs w:val="23"/>
        </w:rPr>
        <w:t xml:space="preserve">a </w:t>
      </w:r>
      <w:r w:rsidRPr="00C3477F">
        <w:rPr>
          <w:spacing w:val="-2"/>
          <w:sz w:val="23"/>
          <w:szCs w:val="23"/>
        </w:rPr>
        <w:t xml:space="preserve">law </w:t>
      </w:r>
      <w:r w:rsidRPr="00C3477F">
        <w:rPr>
          <w:spacing w:val="-3"/>
          <w:sz w:val="23"/>
          <w:szCs w:val="23"/>
        </w:rPr>
        <w:t xml:space="preserve">other </w:t>
      </w:r>
      <w:r w:rsidRPr="00C3477F">
        <w:rPr>
          <w:sz w:val="23"/>
          <w:szCs w:val="23"/>
        </w:rPr>
        <w:t>than that of</w:t>
      </w:r>
      <w:r w:rsidRPr="00C3477F">
        <w:rPr>
          <w:spacing w:val="-21"/>
          <w:sz w:val="23"/>
          <w:szCs w:val="23"/>
        </w:rPr>
        <w:t xml:space="preserve"> </w:t>
      </w:r>
      <w:r w:rsidRPr="00C3477F">
        <w:rPr>
          <w:spacing w:val="-3"/>
          <w:sz w:val="23"/>
          <w:szCs w:val="23"/>
        </w:rPr>
        <w:t>Japan?</w:t>
      </w:r>
    </w:p>
    <w:p w:rsidR="009C507F" w:rsidRPr="00C3477F" w:rsidRDefault="009C507F">
      <w:pPr>
        <w:pStyle w:val="BodyText"/>
        <w:rPr>
          <w:b/>
          <w:sz w:val="23"/>
          <w:szCs w:val="23"/>
        </w:rPr>
      </w:pPr>
    </w:p>
    <w:p w:rsidR="009C507F" w:rsidRPr="00C3477F" w:rsidRDefault="00DC39D2" w:rsidP="00DC39D2">
      <w:pPr>
        <w:pStyle w:val="BodyText"/>
        <w:spacing w:before="1"/>
        <w:ind w:left="118" w:right="1230"/>
        <w:jc w:val="both"/>
        <w:rPr>
          <w:sz w:val="23"/>
          <w:szCs w:val="23"/>
        </w:rPr>
      </w:pPr>
      <w:r w:rsidRPr="00C3477F">
        <w:rPr>
          <w:sz w:val="23"/>
          <w:szCs w:val="23"/>
        </w:rPr>
        <w:t xml:space="preserve">The parties are generally free to stipulate an arbitration clause with the seat of the arbitral tribunal </w:t>
      </w:r>
      <w:proofErr w:type="gramStart"/>
      <w:r w:rsidRPr="00C3477F">
        <w:rPr>
          <w:sz w:val="23"/>
          <w:szCs w:val="23"/>
        </w:rPr>
        <w:t>being situated</w:t>
      </w:r>
      <w:proofErr w:type="gramEnd"/>
      <w:r w:rsidRPr="00C3477F">
        <w:rPr>
          <w:sz w:val="23"/>
          <w:szCs w:val="23"/>
        </w:rPr>
        <w:t xml:space="preserve"> outside of Japan. However, to enforce a foreign arbitral award in Japan, it is necessary for the award to first </w:t>
      </w:r>
      <w:proofErr w:type="gramStart"/>
      <w:r w:rsidRPr="00C3477F">
        <w:rPr>
          <w:sz w:val="23"/>
          <w:szCs w:val="23"/>
        </w:rPr>
        <w:t>be declared</w:t>
      </w:r>
      <w:proofErr w:type="gramEnd"/>
      <w:r w:rsidRPr="00C3477F">
        <w:rPr>
          <w:sz w:val="23"/>
          <w:szCs w:val="23"/>
        </w:rPr>
        <w:t xml:space="preserve"> enforceable by the Japanese courts.</w:t>
      </w:r>
    </w:p>
    <w:sectPr w:rsidR="009C507F" w:rsidRPr="00C3477F" w:rsidSect="004508BF">
      <w:footerReference w:type="even" r:id="rId7"/>
      <w:footerReference w:type="default" r:id="rId8"/>
      <w:pgSz w:w="11910" w:h="16850"/>
      <w:pgMar w:top="1440" w:right="1440" w:bottom="1440" w:left="1440" w:header="0" w:footer="87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5E32" w:rsidRDefault="00DC39D2">
      <w:r>
        <w:separator/>
      </w:r>
    </w:p>
  </w:endnote>
  <w:endnote w:type="continuationSeparator" w:id="0">
    <w:p w:rsidR="007E5E32" w:rsidRDefault="00DC39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507F" w:rsidRDefault="004508BF">
    <w:pPr>
      <w:pStyle w:val="BodyText"/>
      <w:spacing w:line="14" w:lineRule="auto"/>
      <w:rPr>
        <w:sz w:val="20"/>
      </w:rPr>
    </w:pPr>
    <w:r>
      <w:pict>
        <v:shapetype id="_x0000_t202" coordsize="21600,21600" o:spt="202" path="m,l,21600r21600,l21600,xe">
          <v:stroke joinstyle="miter"/>
          <v:path gradientshapeok="t" o:connecttype="rect"/>
        </v:shapetype>
        <v:shape id="_x0000_s1025" type="#_x0000_t202" style="position:absolute;margin-left:310.95pt;margin-top:787.4pt;width:31.2pt;height:13.05pt;z-index:-4744;mso-position-horizontal-relative:page;mso-position-vertical-relative:page" filled="f" stroked="f">
          <v:textbox inset="0,0,0,0">
            <w:txbxContent>
              <w:p w:rsidR="009C507F" w:rsidRDefault="00DC39D2">
                <w:pPr>
                  <w:spacing w:before="10"/>
                  <w:ind w:left="20"/>
                  <w:rPr>
                    <w:b/>
                    <w:sz w:val="20"/>
                  </w:rPr>
                </w:pPr>
                <w:r>
                  <w:rPr>
                    <w:b/>
                    <w:sz w:val="20"/>
                  </w:rPr>
                  <w:t xml:space="preserve">Page </w:t>
                </w:r>
                <w:r>
                  <w:fldChar w:fldCharType="begin"/>
                </w:r>
                <w:r>
                  <w:rPr>
                    <w:b/>
                    <w:sz w:val="20"/>
                  </w:rPr>
                  <w:instrText xml:space="preserve"> PAGE </w:instrText>
                </w:r>
                <w:r>
                  <w:fldChar w:fldCharType="separate"/>
                </w:r>
                <w:r w:rsidR="004508BF">
                  <w:rPr>
                    <w:b/>
                    <w:noProof/>
                    <w:sz w:val="20"/>
                  </w:rPr>
                  <w:t>4</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507F" w:rsidRDefault="004508BF">
    <w:pPr>
      <w:pStyle w:val="BodyText"/>
      <w:spacing w:line="14" w:lineRule="auto"/>
      <w:rPr>
        <w:sz w:val="20"/>
      </w:rPr>
    </w:pPr>
    <w:r>
      <w:pict>
        <v:shapetype id="_x0000_t202" coordsize="21600,21600" o:spt="202" path="m,l,21600r21600,l21600,xe">
          <v:stroke joinstyle="miter"/>
          <v:path gradientshapeok="t" o:connecttype="rect"/>
        </v:shapetype>
        <v:shape id="_x0000_s1026" type="#_x0000_t202" style="position:absolute;margin-left:254.3pt;margin-top:787.4pt;width:31.15pt;height:13.05pt;z-index:-4768;mso-position-horizontal-relative:page;mso-position-vertical-relative:page" filled="f" stroked="f">
          <v:textbox inset="0,0,0,0">
            <w:txbxContent>
              <w:p w:rsidR="009C507F" w:rsidRDefault="00DC39D2">
                <w:pPr>
                  <w:spacing w:before="10"/>
                  <w:ind w:left="20"/>
                  <w:rPr>
                    <w:b/>
                    <w:sz w:val="20"/>
                  </w:rPr>
                </w:pPr>
                <w:r>
                  <w:rPr>
                    <w:b/>
                    <w:sz w:val="20"/>
                  </w:rPr>
                  <w:t xml:space="preserve">Page </w:t>
                </w:r>
                <w:r>
                  <w:fldChar w:fldCharType="begin"/>
                </w:r>
                <w:r>
                  <w:rPr>
                    <w:b/>
                    <w:sz w:val="20"/>
                  </w:rPr>
                  <w:instrText xml:space="preserve"> PAGE </w:instrText>
                </w:r>
                <w:r>
                  <w:fldChar w:fldCharType="separate"/>
                </w:r>
                <w:r w:rsidR="004508BF">
                  <w:rPr>
                    <w:b/>
                    <w:noProof/>
                    <w:sz w:val="20"/>
                  </w:rPr>
                  <w:t>5</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5E32" w:rsidRDefault="00DC39D2">
      <w:r>
        <w:separator/>
      </w:r>
    </w:p>
  </w:footnote>
  <w:footnote w:type="continuationSeparator" w:id="0">
    <w:p w:rsidR="007E5E32" w:rsidRDefault="00DC39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401C4"/>
    <w:multiLevelType w:val="hybridMultilevel"/>
    <w:tmpl w:val="6FE06E4C"/>
    <w:lvl w:ilvl="0" w:tplc="D812B958">
      <w:start w:val="1"/>
      <w:numFmt w:val="decimal"/>
      <w:lvlText w:val="%1."/>
      <w:lvlJc w:val="left"/>
      <w:pPr>
        <w:ind w:left="838" w:hanging="360"/>
        <w:jc w:val="right"/>
      </w:pPr>
      <w:rPr>
        <w:rFonts w:ascii="Times New Roman" w:eastAsia="Times New Roman" w:hAnsi="Times New Roman" w:cs="Times New Roman" w:hint="default"/>
        <w:b/>
        <w:bCs/>
        <w:spacing w:val="-2"/>
        <w:w w:val="100"/>
        <w:sz w:val="23"/>
        <w:szCs w:val="23"/>
        <w:lang w:val="en-GB" w:eastAsia="en-GB" w:bidi="en-GB"/>
      </w:rPr>
    </w:lvl>
    <w:lvl w:ilvl="1" w:tplc="D8E45380">
      <w:numFmt w:val="bullet"/>
      <w:lvlText w:val="•"/>
      <w:lvlJc w:val="left"/>
      <w:pPr>
        <w:ind w:left="1686" w:hanging="360"/>
      </w:pPr>
      <w:rPr>
        <w:rFonts w:hint="default"/>
        <w:lang w:val="en-GB" w:eastAsia="en-GB" w:bidi="en-GB"/>
      </w:rPr>
    </w:lvl>
    <w:lvl w:ilvl="2" w:tplc="E610B4F0">
      <w:numFmt w:val="bullet"/>
      <w:lvlText w:val="•"/>
      <w:lvlJc w:val="left"/>
      <w:pPr>
        <w:ind w:left="2533" w:hanging="360"/>
      </w:pPr>
      <w:rPr>
        <w:rFonts w:hint="default"/>
        <w:lang w:val="en-GB" w:eastAsia="en-GB" w:bidi="en-GB"/>
      </w:rPr>
    </w:lvl>
    <w:lvl w:ilvl="3" w:tplc="129A0D08">
      <w:numFmt w:val="bullet"/>
      <w:lvlText w:val="•"/>
      <w:lvlJc w:val="left"/>
      <w:pPr>
        <w:ind w:left="3379" w:hanging="360"/>
      </w:pPr>
      <w:rPr>
        <w:rFonts w:hint="default"/>
        <w:lang w:val="en-GB" w:eastAsia="en-GB" w:bidi="en-GB"/>
      </w:rPr>
    </w:lvl>
    <w:lvl w:ilvl="4" w:tplc="545E0594">
      <w:numFmt w:val="bullet"/>
      <w:lvlText w:val="•"/>
      <w:lvlJc w:val="left"/>
      <w:pPr>
        <w:ind w:left="4226" w:hanging="360"/>
      </w:pPr>
      <w:rPr>
        <w:rFonts w:hint="default"/>
        <w:lang w:val="en-GB" w:eastAsia="en-GB" w:bidi="en-GB"/>
      </w:rPr>
    </w:lvl>
    <w:lvl w:ilvl="5" w:tplc="535A0C48">
      <w:numFmt w:val="bullet"/>
      <w:lvlText w:val="•"/>
      <w:lvlJc w:val="left"/>
      <w:pPr>
        <w:ind w:left="5073" w:hanging="360"/>
      </w:pPr>
      <w:rPr>
        <w:rFonts w:hint="default"/>
        <w:lang w:val="en-GB" w:eastAsia="en-GB" w:bidi="en-GB"/>
      </w:rPr>
    </w:lvl>
    <w:lvl w:ilvl="6" w:tplc="6742E104">
      <w:numFmt w:val="bullet"/>
      <w:lvlText w:val="•"/>
      <w:lvlJc w:val="left"/>
      <w:pPr>
        <w:ind w:left="5919" w:hanging="360"/>
      </w:pPr>
      <w:rPr>
        <w:rFonts w:hint="default"/>
        <w:lang w:val="en-GB" w:eastAsia="en-GB" w:bidi="en-GB"/>
      </w:rPr>
    </w:lvl>
    <w:lvl w:ilvl="7" w:tplc="EA02D15C">
      <w:numFmt w:val="bullet"/>
      <w:lvlText w:val="•"/>
      <w:lvlJc w:val="left"/>
      <w:pPr>
        <w:ind w:left="6766" w:hanging="360"/>
      </w:pPr>
      <w:rPr>
        <w:rFonts w:hint="default"/>
        <w:lang w:val="en-GB" w:eastAsia="en-GB" w:bidi="en-GB"/>
      </w:rPr>
    </w:lvl>
    <w:lvl w:ilvl="8" w:tplc="459288CA">
      <w:numFmt w:val="bullet"/>
      <w:lvlText w:val="•"/>
      <w:lvlJc w:val="left"/>
      <w:pPr>
        <w:ind w:left="7613" w:hanging="360"/>
      </w:pPr>
      <w:rPr>
        <w:rFonts w:hint="default"/>
        <w:lang w:val="en-GB" w:eastAsia="en-GB" w:bidi="en-GB"/>
      </w:rPr>
    </w:lvl>
  </w:abstractNum>
  <w:abstractNum w:abstractNumId="1" w15:restartNumberingAfterBreak="0">
    <w:nsid w:val="19B84E32"/>
    <w:multiLevelType w:val="hybridMultilevel"/>
    <w:tmpl w:val="354E728C"/>
    <w:lvl w:ilvl="0" w:tplc="C964955A">
      <w:start w:val="1"/>
      <w:numFmt w:val="decimal"/>
      <w:lvlText w:val="%1."/>
      <w:lvlJc w:val="left"/>
      <w:pPr>
        <w:ind w:left="118" w:hanging="341"/>
        <w:jc w:val="right"/>
      </w:pPr>
      <w:rPr>
        <w:rFonts w:ascii="Times New Roman" w:eastAsia="Times New Roman" w:hAnsi="Times New Roman" w:cs="Times New Roman" w:hint="default"/>
        <w:b/>
        <w:bCs/>
        <w:w w:val="100"/>
        <w:sz w:val="23"/>
        <w:szCs w:val="23"/>
        <w:lang w:val="en-GB" w:eastAsia="en-GB" w:bidi="en-GB"/>
      </w:rPr>
    </w:lvl>
    <w:lvl w:ilvl="1" w:tplc="3FF4C796">
      <w:start w:val="12"/>
      <w:numFmt w:val="decimal"/>
      <w:lvlText w:val="%2."/>
      <w:lvlJc w:val="left"/>
      <w:pPr>
        <w:ind w:left="1971" w:hanging="360"/>
        <w:jc w:val="right"/>
      </w:pPr>
      <w:rPr>
        <w:rFonts w:ascii="Times New Roman" w:eastAsia="Times New Roman" w:hAnsi="Times New Roman" w:cs="Times New Roman" w:hint="default"/>
        <w:b/>
        <w:bCs/>
        <w:spacing w:val="-2"/>
        <w:w w:val="100"/>
        <w:sz w:val="26"/>
        <w:szCs w:val="26"/>
        <w:lang w:val="en-GB" w:eastAsia="en-GB" w:bidi="en-GB"/>
      </w:rPr>
    </w:lvl>
    <w:lvl w:ilvl="2" w:tplc="6F9C15F4">
      <w:numFmt w:val="bullet"/>
      <w:lvlText w:val="•"/>
      <w:lvlJc w:val="left"/>
      <w:pPr>
        <w:ind w:left="2794" w:hanging="360"/>
      </w:pPr>
      <w:rPr>
        <w:rFonts w:hint="default"/>
        <w:lang w:val="en-GB" w:eastAsia="en-GB" w:bidi="en-GB"/>
      </w:rPr>
    </w:lvl>
    <w:lvl w:ilvl="3" w:tplc="94E45C10">
      <w:numFmt w:val="bullet"/>
      <w:lvlText w:val="•"/>
      <w:lvlJc w:val="left"/>
      <w:pPr>
        <w:ind w:left="3608" w:hanging="360"/>
      </w:pPr>
      <w:rPr>
        <w:rFonts w:hint="default"/>
        <w:lang w:val="en-GB" w:eastAsia="en-GB" w:bidi="en-GB"/>
      </w:rPr>
    </w:lvl>
    <w:lvl w:ilvl="4" w:tplc="359C06A4">
      <w:numFmt w:val="bullet"/>
      <w:lvlText w:val="•"/>
      <w:lvlJc w:val="left"/>
      <w:pPr>
        <w:ind w:left="4422" w:hanging="360"/>
      </w:pPr>
      <w:rPr>
        <w:rFonts w:hint="default"/>
        <w:lang w:val="en-GB" w:eastAsia="en-GB" w:bidi="en-GB"/>
      </w:rPr>
    </w:lvl>
    <w:lvl w:ilvl="5" w:tplc="2E4C63E8">
      <w:numFmt w:val="bullet"/>
      <w:lvlText w:val="•"/>
      <w:lvlJc w:val="left"/>
      <w:pPr>
        <w:ind w:left="5236" w:hanging="360"/>
      </w:pPr>
      <w:rPr>
        <w:rFonts w:hint="default"/>
        <w:lang w:val="en-GB" w:eastAsia="en-GB" w:bidi="en-GB"/>
      </w:rPr>
    </w:lvl>
    <w:lvl w:ilvl="6" w:tplc="3C32DC14">
      <w:numFmt w:val="bullet"/>
      <w:lvlText w:val="•"/>
      <w:lvlJc w:val="left"/>
      <w:pPr>
        <w:ind w:left="6050" w:hanging="360"/>
      </w:pPr>
      <w:rPr>
        <w:rFonts w:hint="default"/>
        <w:lang w:val="en-GB" w:eastAsia="en-GB" w:bidi="en-GB"/>
      </w:rPr>
    </w:lvl>
    <w:lvl w:ilvl="7" w:tplc="71400DAA">
      <w:numFmt w:val="bullet"/>
      <w:lvlText w:val="•"/>
      <w:lvlJc w:val="left"/>
      <w:pPr>
        <w:ind w:left="6864" w:hanging="360"/>
      </w:pPr>
      <w:rPr>
        <w:rFonts w:hint="default"/>
        <w:lang w:val="en-GB" w:eastAsia="en-GB" w:bidi="en-GB"/>
      </w:rPr>
    </w:lvl>
    <w:lvl w:ilvl="8" w:tplc="91A01F16">
      <w:numFmt w:val="bullet"/>
      <w:lvlText w:val="•"/>
      <w:lvlJc w:val="left"/>
      <w:pPr>
        <w:ind w:left="7678" w:hanging="360"/>
      </w:pPr>
      <w:rPr>
        <w:rFonts w:hint="default"/>
        <w:lang w:val="en-GB" w:eastAsia="en-GB" w:bidi="en-GB"/>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evenAndOddHeaders/>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
  <w:rsids>
    <w:rsidRoot w:val="009C507F"/>
    <w:rsid w:val="004508BF"/>
    <w:rsid w:val="007E5E32"/>
    <w:rsid w:val="009C507F"/>
    <w:rsid w:val="00A72327"/>
    <w:rsid w:val="00C3477F"/>
    <w:rsid w:val="00DC39D2"/>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10DF21"/>
  <w15:docId w15:val="{8401E5C2-7F47-4A77-B568-84761827A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n-GB" w:eastAsia="en-GB" w:bidi="en-GB"/>
    </w:rPr>
  </w:style>
  <w:style w:type="paragraph" w:styleId="Heading1">
    <w:name w:val="heading 1"/>
    <w:basedOn w:val="Normal"/>
    <w:uiPriority w:val="1"/>
    <w:qFormat/>
    <w:pPr>
      <w:ind w:left="838" w:right="1244" w:hanging="360"/>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38" w:right="1244"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1652</Words>
  <Characters>9418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IBA Guide on Shareholders’ Agreements</vt:lpstr>
    </vt:vector>
  </TitlesOfParts>
  <Company>MinterEllisonRuddWatts</Company>
  <LinksUpToDate>false</LinksUpToDate>
  <CharactersWithSpaces>11048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IBA Guide on Shareholders’ Agreements</dc:title>
  <dc:creator>tavarellie</dc:creator>
  <cp:lastModifiedBy>MERW</cp:lastModifiedBy>
  <cp:revision>4</cp:revision>
  <dcterms:created xsi:type="dcterms:W3CDTF">2018-09-02T20:24:00Z</dcterms:created>
  <dcterms:modified xsi:type="dcterms:W3CDTF">2018-09-17T21:20:00Z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2013-10-30T00:00:00Z</vt:filetime>
  </property>
  <property fmtid="{D5CDD505-2E9C-101B-9397-08002B2CF9AE}" pid="3" name="Creator">
    <vt:lpwstr>Microsoft® Word 2010</vt:lpwstr>
  </property>
  <property fmtid="{D5CDD505-2E9C-101B-9397-08002B2CF9AE}" pid="4" name="LastSaved">
    <vt:filetime>2018-09-02T00:00:00Z</vt:filetime>
  </property>
</Properties>
</file>